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E82BB">
      <w:pPr>
        <w:pStyle w:val="3"/>
        <w:bidi w:val="0"/>
        <w:jc w:val="both"/>
        <w:outlineLvl w:val="0"/>
        <w:rPr>
          <w:rFonts w:hint="eastAsia" w:ascii="宋体" w:hAnsi="宋体" w:eastAsia="宋体" w:cs="宋体"/>
          <w:lang w:val="en-US" w:eastAsia="zh-CN"/>
        </w:rPr>
      </w:pPr>
      <w:r>
        <w:rPr>
          <w:rFonts w:hint="eastAsia" w:ascii="宋体" w:hAnsi="宋体" w:eastAsia="宋体" w:cs="宋体"/>
        </w:rPr>
        <w:drawing>
          <wp:anchor distT="0" distB="0" distL="114300" distR="114300" simplePos="0" relativeHeight="251659264" behindDoc="0" locked="0" layoutInCell="1" allowOverlap="1">
            <wp:simplePos x="0" y="0"/>
            <wp:positionH relativeFrom="page">
              <wp:posOffset>2937510</wp:posOffset>
            </wp:positionH>
            <wp:positionV relativeFrom="paragraph">
              <wp:posOffset>55880</wp:posOffset>
            </wp:positionV>
            <wp:extent cx="1450340" cy="481330"/>
            <wp:effectExtent l="0" t="0" r="6985" b="44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50340" cy="481330"/>
                    </a:xfrm>
                    <a:prstGeom prst="rect">
                      <a:avLst/>
                    </a:prstGeom>
                    <a:noFill/>
                  </pic:spPr>
                </pic:pic>
              </a:graphicData>
            </a:graphic>
          </wp:anchor>
        </w:drawing>
      </w:r>
      <w:r>
        <w:rPr>
          <w:rFonts w:hint="eastAsia" w:ascii="宋体" w:hAnsi="宋体" w:eastAsia="宋体" w:cs="宋体"/>
          <w:color w:val="000000" w:themeColor="text1"/>
          <w:sz w:val="28"/>
          <w:szCs w:val="28"/>
          <w:lang w:eastAsia="zh-CN"/>
          <w14:textFill>
            <w14:solidFill>
              <w14:schemeClr w14:val="tx1"/>
            </w14:solidFill>
          </w14:textFill>
        </w:rPr>
        <w:drawing>
          <wp:anchor distT="0" distB="0" distL="114300" distR="114300" simplePos="0" relativeHeight="251696128" behindDoc="1" locked="0" layoutInCell="1" allowOverlap="1">
            <wp:simplePos x="0" y="0"/>
            <wp:positionH relativeFrom="column">
              <wp:posOffset>-2540</wp:posOffset>
            </wp:positionH>
            <wp:positionV relativeFrom="paragraph">
              <wp:posOffset>80645</wp:posOffset>
            </wp:positionV>
            <wp:extent cx="1684655" cy="459105"/>
            <wp:effectExtent l="0" t="0" r="20955" b="26670"/>
            <wp:wrapTight wrapText="bothSides">
              <wp:wrapPolygon>
                <wp:start x="0" y="0"/>
                <wp:lineTo x="0" y="20823"/>
                <wp:lineTo x="21315" y="20823"/>
                <wp:lineTo x="21315" y="0"/>
                <wp:lineTo x="0" y="0"/>
              </wp:wrapPolygon>
            </wp:wrapTight>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
                    <pic:cNvPicPr>
                      <a:picLocks noChangeAspect="1"/>
                    </pic:cNvPicPr>
                  </pic:nvPicPr>
                  <pic:blipFill>
                    <a:blip r:embed="rId9"/>
                    <a:stretch>
                      <a:fillRect/>
                    </a:stretch>
                  </pic:blipFill>
                  <pic:spPr>
                    <a:xfrm>
                      <a:off x="0" y="0"/>
                      <a:ext cx="1684655" cy="459105"/>
                    </a:xfrm>
                    <a:prstGeom prst="rect">
                      <a:avLst/>
                    </a:prstGeom>
                  </pic:spPr>
                </pic:pic>
              </a:graphicData>
            </a:graphic>
          </wp:anchor>
        </w:drawing>
      </w:r>
    </w:p>
    <w:p w14:paraId="7B78AA69">
      <w:pPr>
        <w:rPr>
          <w:rFonts w:hint="eastAsia" w:ascii="宋体" w:hAnsi="宋体" w:eastAsia="宋体" w:cs="宋体"/>
          <w:lang w:val="en-US" w:eastAsia="zh-CN"/>
        </w:rPr>
      </w:pPr>
    </w:p>
    <w:p w14:paraId="017A3714">
      <w:pPr>
        <w:rPr>
          <w:rFonts w:hint="eastAsia" w:ascii="宋体" w:hAnsi="宋体" w:eastAsia="宋体" w:cs="宋体"/>
          <w:lang w:val="en-US" w:eastAsia="zh-CN"/>
        </w:rPr>
      </w:pPr>
    </w:p>
    <w:p w14:paraId="2FEB7151">
      <w:pPr>
        <w:rPr>
          <w:rFonts w:hint="eastAsia" w:ascii="宋体" w:hAnsi="宋体" w:eastAsia="宋体" w:cs="宋体"/>
          <w:lang w:val="en-US" w:eastAsia="zh-CN"/>
        </w:rPr>
      </w:pPr>
    </w:p>
    <w:p w14:paraId="615A2B0F">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1D66A9BC">
      <w:pPr>
        <w:keepNext w:val="0"/>
        <w:keepLines w:val="0"/>
        <w:pageBreakBefore w:val="0"/>
        <w:widowControl w:val="0"/>
        <w:kinsoku/>
        <w:wordWrap/>
        <w:overflowPunct/>
        <w:topLinePunct w:val="0"/>
        <w:autoSpaceDE w:val="0"/>
        <w:autoSpaceDN w:val="0"/>
        <w:bidi w:val="0"/>
        <w:adjustRightInd/>
        <w:snapToGrid/>
        <w:spacing w:before="157" w:beforeLines="50" w:after="157" w:afterLines="50" w:line="960" w:lineRule="auto"/>
        <w:ind w:left="0" w:right="0"/>
        <w:jc w:val="center"/>
        <w:textAlignment w:val="auto"/>
        <w:rPr>
          <w:rFonts w:hint="eastAsia" w:ascii="宋体" w:hAnsi="宋体" w:eastAsia="宋体" w:cs="宋体"/>
          <w:b/>
          <w:bCs/>
          <w:color w:val="000000"/>
          <w:spacing w:val="0"/>
          <w:kern w:val="0"/>
          <w:sz w:val="72"/>
          <w:szCs w:val="72"/>
          <w:lang w:val="en-US" w:eastAsia="zh-CN"/>
        </w:rPr>
      </w:pPr>
      <w:r>
        <w:rPr>
          <w:rFonts w:hint="eastAsia" w:ascii="宋体" w:hAnsi="宋体" w:eastAsia="宋体" w:cs="宋体"/>
          <w:b/>
          <w:bCs/>
          <w:color w:val="000000"/>
          <w:spacing w:val="0"/>
          <w:kern w:val="0"/>
          <w:sz w:val="72"/>
          <w:szCs w:val="72"/>
          <w:lang w:val="en-US" w:eastAsia="zh-CN"/>
        </w:rPr>
        <w:t>华泰期货MATIC交易终端</w:t>
      </w:r>
    </w:p>
    <w:p w14:paraId="74C9C176">
      <w:pPr>
        <w:keepNext w:val="0"/>
        <w:keepLines w:val="0"/>
        <w:pageBreakBefore w:val="0"/>
        <w:widowControl w:val="0"/>
        <w:kinsoku/>
        <w:wordWrap/>
        <w:overflowPunct/>
        <w:topLinePunct w:val="0"/>
        <w:autoSpaceDE w:val="0"/>
        <w:autoSpaceDN w:val="0"/>
        <w:bidi w:val="0"/>
        <w:adjustRightInd/>
        <w:snapToGrid/>
        <w:spacing w:before="157" w:beforeLines="50" w:after="157" w:afterLines="50" w:line="960" w:lineRule="auto"/>
        <w:ind w:left="0" w:right="0"/>
        <w:jc w:val="center"/>
        <w:textAlignment w:val="auto"/>
        <w:rPr>
          <w:rFonts w:hint="eastAsia" w:ascii="宋体" w:hAnsi="宋体" w:eastAsia="宋体" w:cs="宋体"/>
          <w:b/>
          <w:bCs/>
          <w:color w:val="000000"/>
          <w:spacing w:val="0"/>
          <w:kern w:val="0"/>
          <w:sz w:val="72"/>
          <w:szCs w:val="72"/>
          <w:lang w:val="en-US" w:eastAsia="zh-CN"/>
        </w:rPr>
      </w:pPr>
      <w:r>
        <w:rPr>
          <w:rFonts w:hint="eastAsia" w:ascii="宋体" w:hAnsi="宋体" w:eastAsia="宋体" w:cs="宋体"/>
          <w:b/>
          <w:bCs/>
          <w:color w:val="000000"/>
          <w:spacing w:val="0"/>
          <w:kern w:val="0"/>
          <w:sz w:val="72"/>
          <w:szCs w:val="72"/>
          <w:lang w:val="en-US" w:eastAsia="zh-CN"/>
        </w:rPr>
        <w:t>用户使用手册</w:t>
      </w:r>
    </w:p>
    <w:p w14:paraId="07122C64">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45B0D185">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r>
        <w:rPr>
          <w:rFonts w:hint="eastAsia" w:ascii="宋体" w:hAnsi="宋体" w:eastAsia="宋体" w:cs="宋体"/>
        </w:rPr>
        <w:drawing>
          <wp:anchor distT="0" distB="0" distL="114300" distR="114300" simplePos="0" relativeHeight="251660288" behindDoc="0" locked="0" layoutInCell="1" allowOverlap="1">
            <wp:simplePos x="0" y="0"/>
            <wp:positionH relativeFrom="page">
              <wp:posOffset>2439670</wp:posOffset>
            </wp:positionH>
            <wp:positionV relativeFrom="page">
              <wp:posOffset>5175885</wp:posOffset>
            </wp:positionV>
            <wp:extent cx="4439285" cy="3076575"/>
            <wp:effectExtent l="0" t="0" r="825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39285" cy="3076575"/>
                    </a:xfrm>
                    <a:prstGeom prst="rect">
                      <a:avLst/>
                    </a:prstGeom>
                    <a:noFill/>
                  </pic:spPr>
                </pic:pic>
              </a:graphicData>
            </a:graphic>
          </wp:anchor>
        </w:drawing>
      </w:r>
    </w:p>
    <w:p w14:paraId="7C50B300">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3034001">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3ADFC21F">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53FF2726">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6314348B">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313558C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85196C7">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535D2AA2">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eastAsia" w:ascii="宋体" w:hAnsi="宋体" w:eastAsia="宋体" w:cs="宋体"/>
          <w:color w:val="000000"/>
          <w:spacing w:val="0"/>
          <w:kern w:val="0"/>
          <w:sz w:val="28"/>
          <w:szCs w:val="28"/>
          <w:lang w:val="en-US" w:eastAsia="zh-CN"/>
        </w:rPr>
      </w:pPr>
    </w:p>
    <w:p w14:paraId="0F82DC1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right"/>
        <w:textAlignment w:val="auto"/>
        <w:rPr>
          <w:rFonts w:hint="default" w:ascii="宋体" w:hAnsi="宋体" w:eastAsia="宋体" w:cs="宋体"/>
          <w:b w:val="0"/>
          <w:bCs w:val="0"/>
          <w:color w:val="000000"/>
          <w:spacing w:val="0"/>
          <w:kern w:val="0"/>
          <w:sz w:val="28"/>
          <w:szCs w:val="28"/>
          <w:lang w:val="en-US" w:eastAsia="zh-CN"/>
        </w:rPr>
      </w:pPr>
      <w:r>
        <w:rPr>
          <w:rFonts w:hint="eastAsia" w:ascii="宋体" w:hAnsi="宋体" w:eastAsia="宋体" w:cs="宋体"/>
        </w:rPr>
        <w:drawing>
          <wp:anchor distT="0" distB="0" distL="114300" distR="114300" simplePos="0" relativeHeight="251697152" behindDoc="0" locked="0" layoutInCell="1" allowOverlap="1">
            <wp:simplePos x="0" y="0"/>
            <wp:positionH relativeFrom="page">
              <wp:posOffset>801370</wp:posOffset>
            </wp:positionH>
            <wp:positionV relativeFrom="page">
              <wp:posOffset>4565015</wp:posOffset>
            </wp:positionV>
            <wp:extent cx="2124075" cy="16129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24075" cy="1612900"/>
                    </a:xfrm>
                    <a:prstGeom prst="rect">
                      <a:avLst/>
                    </a:prstGeom>
                    <a:noFill/>
                  </pic:spPr>
                </pic:pic>
              </a:graphicData>
            </a:graphic>
          </wp:anchor>
        </w:drawing>
      </w:r>
      <w:r>
        <w:rPr>
          <w:rFonts w:hint="eastAsia" w:ascii="宋体" w:hAnsi="宋体" w:eastAsia="宋体" w:cs="宋体"/>
          <w:color w:val="000000"/>
          <w:spacing w:val="0"/>
          <w:kern w:val="0"/>
          <w:sz w:val="28"/>
          <w:szCs w:val="28"/>
          <w:lang w:val="en-US" w:eastAsia="zh-CN"/>
        </w:rPr>
        <w:t xml:space="preserve">  </w:t>
      </w:r>
      <w:r>
        <w:rPr>
          <w:rFonts w:hint="eastAsia" w:ascii="宋体" w:hAnsi="宋体" w:eastAsia="宋体" w:cs="宋体"/>
          <w:b w:val="0"/>
          <w:bCs w:val="0"/>
          <w:color w:val="000000"/>
          <w:spacing w:val="0"/>
          <w:kern w:val="0"/>
          <w:sz w:val="28"/>
          <w:szCs w:val="28"/>
          <w:lang w:val="en-US" w:eastAsia="zh-CN"/>
        </w:rPr>
        <w:t>版本号：MATIC_1.7.0</w:t>
      </w:r>
    </w:p>
    <w:p w14:paraId="2619F15E">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b w:val="0"/>
          <w:bCs w:val="0"/>
          <w:color w:val="000000"/>
          <w:spacing w:val="0"/>
          <w:kern w:val="0"/>
          <w:sz w:val="28"/>
          <w:szCs w:val="28"/>
          <w:lang w:val="en-US" w:eastAsia="zh-CN"/>
        </w:rPr>
      </w:pPr>
      <w:r>
        <w:rPr>
          <w:rFonts w:hint="eastAsia" w:ascii="宋体" w:hAnsi="宋体" w:eastAsia="宋体" w:cs="宋体"/>
          <w:b w:val="0"/>
          <w:bCs w:val="0"/>
          <w:color w:val="000000"/>
          <w:spacing w:val="0"/>
          <w:kern w:val="0"/>
          <w:sz w:val="28"/>
          <w:szCs w:val="28"/>
          <w:lang w:val="en-US" w:eastAsia="zh-CN"/>
        </w:rPr>
        <w:t xml:space="preserve">                                   2024年12月25日</w:t>
      </w:r>
    </w:p>
    <w:p w14:paraId="77BA14EC">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pPr>
    </w:p>
    <w:p w14:paraId="4109C9B3">
      <w:pPr>
        <w:keepNext w:val="0"/>
        <w:keepLines w:val="0"/>
        <w:pageBreakBefore w:val="0"/>
        <w:widowControl w:val="0"/>
        <w:kinsoku/>
        <w:wordWrap/>
        <w:overflowPunct/>
        <w:topLinePunct w:val="0"/>
        <w:autoSpaceDE w:val="0"/>
        <w:autoSpaceDN w:val="0"/>
        <w:bidi w:val="0"/>
        <w:adjustRightInd/>
        <w:snapToGrid/>
        <w:spacing w:before="0" w:after="0" w:line="480" w:lineRule="auto"/>
        <w:ind w:left="0" w:right="0"/>
        <w:jc w:val="center"/>
        <w:textAlignment w:val="auto"/>
        <w:rPr>
          <w:rFonts w:hint="eastAsia" w:ascii="宋体" w:hAnsi="宋体" w:eastAsia="宋体" w:cs="宋体"/>
          <w:color w:val="000000"/>
          <w:spacing w:val="0"/>
          <w:kern w:val="0"/>
          <w:sz w:val="48"/>
          <w:szCs w:val="22"/>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sdt>
      <w:sdtPr>
        <w:rPr>
          <w:rFonts w:hint="eastAsia" w:ascii="宋体" w:hAnsi="宋体" w:eastAsia="宋体" w:cs="宋体"/>
          <w:kern w:val="2"/>
          <w:sz w:val="32"/>
          <w:szCs w:val="32"/>
          <w:lang w:val="en-US" w:eastAsia="zh-CN" w:bidi="ar-SA"/>
        </w:rPr>
        <w:id w:val="147453294"/>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14:paraId="1D1A2EAA">
          <w:pPr>
            <w:spacing w:before="0" w:beforeLines="0" w:after="0" w:afterLines="0" w:line="240" w:lineRule="auto"/>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目录</w:t>
          </w:r>
        </w:p>
        <w:p w14:paraId="2551ED2F">
          <w:pPr>
            <w:pStyle w:val="16"/>
            <w:tabs>
              <w:tab w:val="right" w:leader="dot" w:pos="8306"/>
            </w:tabs>
          </w:pP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TOC \o "1-3" \h \u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_Toc21881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1. </w:t>
          </w:r>
          <w:r>
            <w:rPr>
              <w:rFonts w:hint="eastAsia" w:ascii="宋体" w:hAnsi="宋体" w:eastAsia="宋体" w:cs="宋体"/>
              <w:szCs w:val="30"/>
              <w:lang w:val="en-US" w:eastAsia="zh-CN"/>
            </w:rPr>
            <w:t>下载</w:t>
          </w:r>
          <w:r>
            <w:tab/>
          </w:r>
          <w:r>
            <w:fldChar w:fldCharType="begin"/>
          </w:r>
          <w:r>
            <w:instrText xml:space="preserve"> PAGEREF _Toc21881 \h </w:instrText>
          </w:r>
          <w:r>
            <w:fldChar w:fldCharType="separate"/>
          </w:r>
          <w:r>
            <w:t>1</w:t>
          </w:r>
          <w:r>
            <w:fldChar w:fldCharType="end"/>
          </w:r>
          <w:r>
            <w:rPr>
              <w:rFonts w:hint="eastAsia" w:ascii="宋体" w:hAnsi="宋体" w:eastAsia="宋体" w:cs="宋体"/>
              <w:kern w:val="2"/>
              <w:szCs w:val="24"/>
              <w:lang w:val="en-US" w:eastAsia="zh-CN" w:bidi="ar-SA"/>
            </w:rPr>
            <w:fldChar w:fldCharType="end"/>
          </w:r>
        </w:p>
        <w:p w14:paraId="504EB3E6">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_Toc26336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 </w:t>
          </w:r>
          <w:r>
            <w:rPr>
              <w:rFonts w:hint="eastAsia" w:ascii="宋体" w:hAnsi="宋体" w:eastAsia="宋体" w:cs="宋体"/>
              <w:szCs w:val="30"/>
              <w:lang w:val="en-US" w:eastAsia="zh-CN"/>
            </w:rPr>
            <w:t>注册登录</w:t>
          </w:r>
          <w:r>
            <w:tab/>
          </w:r>
          <w:r>
            <w:fldChar w:fldCharType="begin"/>
          </w:r>
          <w:r>
            <w:instrText xml:space="preserve"> PAGEREF _Toc26336 \h </w:instrText>
          </w:r>
          <w:r>
            <w:fldChar w:fldCharType="separate"/>
          </w:r>
          <w:r>
            <w:t>2</w:t>
          </w:r>
          <w:r>
            <w:fldChar w:fldCharType="end"/>
          </w:r>
          <w:r>
            <w:rPr>
              <w:rFonts w:hint="eastAsia" w:ascii="宋体" w:hAnsi="宋体" w:eastAsia="宋体" w:cs="宋体"/>
              <w:kern w:val="2"/>
              <w:szCs w:val="24"/>
              <w:lang w:val="en-US" w:eastAsia="zh-CN" w:bidi="ar-SA"/>
            </w:rPr>
            <w:fldChar w:fldCharType="end"/>
          </w:r>
        </w:p>
        <w:p w14:paraId="4F15CBB1">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_Toc17577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2.1. </w:t>
          </w:r>
          <w:r>
            <w:rPr>
              <w:rFonts w:hint="eastAsia" w:ascii="宋体" w:hAnsi="宋体" w:eastAsia="宋体" w:cs="宋体"/>
              <w:szCs w:val="30"/>
              <w:lang w:val="en-US" w:eastAsia="zh-CN"/>
            </w:rPr>
            <w:t>注册</w:t>
          </w:r>
          <w:r>
            <w:tab/>
          </w:r>
          <w:r>
            <w:fldChar w:fldCharType="begin"/>
          </w:r>
          <w:r>
            <w:instrText xml:space="preserve"> PAGEREF _Toc17577 \h </w:instrText>
          </w:r>
          <w:r>
            <w:fldChar w:fldCharType="separate"/>
          </w:r>
          <w:r>
            <w:t>2</w:t>
          </w:r>
          <w:r>
            <w:fldChar w:fldCharType="end"/>
          </w:r>
          <w:r>
            <w:rPr>
              <w:rFonts w:hint="eastAsia" w:ascii="宋体" w:hAnsi="宋体" w:eastAsia="宋体" w:cs="宋体"/>
              <w:kern w:val="2"/>
              <w:szCs w:val="24"/>
              <w:lang w:val="en-US" w:eastAsia="zh-CN" w:bidi="ar-SA"/>
            </w:rPr>
            <w:fldChar w:fldCharType="end"/>
          </w:r>
        </w:p>
        <w:p w14:paraId="668A5D66">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_Toc7938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2.2. </w:t>
          </w:r>
          <w:r>
            <w:rPr>
              <w:rFonts w:hint="eastAsia" w:ascii="宋体" w:hAnsi="宋体" w:eastAsia="宋体" w:cs="宋体"/>
              <w:szCs w:val="30"/>
              <w:lang w:val="en-US" w:eastAsia="zh-CN"/>
            </w:rPr>
            <w:t>登录</w:t>
          </w:r>
          <w:r>
            <w:tab/>
          </w:r>
          <w:r>
            <w:fldChar w:fldCharType="begin"/>
          </w:r>
          <w:r>
            <w:instrText xml:space="preserve"> PAGEREF _Toc7938 \h </w:instrText>
          </w:r>
          <w:r>
            <w:fldChar w:fldCharType="separate"/>
          </w:r>
          <w:r>
            <w:t>3</w:t>
          </w:r>
          <w:r>
            <w:fldChar w:fldCharType="end"/>
          </w:r>
          <w:r>
            <w:rPr>
              <w:rFonts w:hint="eastAsia" w:ascii="宋体" w:hAnsi="宋体" w:eastAsia="宋体" w:cs="宋体"/>
              <w:kern w:val="2"/>
              <w:szCs w:val="24"/>
              <w:lang w:val="en-US" w:eastAsia="zh-CN" w:bidi="ar-SA"/>
            </w:rPr>
            <w:fldChar w:fldCharType="end"/>
          </w:r>
        </w:p>
        <w:p w14:paraId="42880DEE">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_Toc30667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2.3. </w:t>
          </w:r>
          <w:r>
            <w:rPr>
              <w:rFonts w:hint="eastAsia" w:ascii="宋体" w:hAnsi="宋体" w:eastAsia="宋体" w:cs="宋体"/>
              <w:szCs w:val="30"/>
              <w:lang w:val="en-US" w:eastAsia="zh-CN"/>
            </w:rPr>
            <w:t>忘记密码</w:t>
          </w:r>
          <w:r>
            <w:tab/>
          </w:r>
          <w:r>
            <w:fldChar w:fldCharType="begin"/>
          </w:r>
          <w:r>
            <w:instrText xml:space="preserve"> PAGEREF _Toc30667 \h </w:instrText>
          </w:r>
          <w:r>
            <w:fldChar w:fldCharType="separate"/>
          </w:r>
          <w:r>
            <w:t>3</w:t>
          </w:r>
          <w:r>
            <w:fldChar w:fldCharType="end"/>
          </w:r>
          <w:r>
            <w:rPr>
              <w:rFonts w:hint="eastAsia" w:ascii="宋体" w:hAnsi="宋体" w:eastAsia="宋体" w:cs="宋体"/>
              <w:kern w:val="2"/>
              <w:szCs w:val="24"/>
              <w:lang w:val="en-US" w:eastAsia="zh-CN" w:bidi="ar-SA"/>
            </w:rPr>
            <w:fldChar w:fldCharType="end"/>
          </w:r>
        </w:p>
        <w:p w14:paraId="53EE375C">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_Toc11555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3. </w:t>
          </w:r>
          <w:r>
            <w:rPr>
              <w:rFonts w:hint="eastAsia" w:ascii="宋体" w:hAnsi="宋体" w:eastAsia="宋体" w:cs="宋体"/>
              <w:szCs w:val="30"/>
              <w:lang w:val="en-US" w:eastAsia="zh-CN"/>
            </w:rPr>
            <w:t>首页</w:t>
          </w:r>
          <w:r>
            <w:tab/>
          </w:r>
          <w:r>
            <w:fldChar w:fldCharType="begin"/>
          </w:r>
          <w:r>
            <w:instrText xml:space="preserve"> PAGEREF _Toc11555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14:paraId="4606FDD5">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_Toc10351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4. </w:t>
          </w:r>
          <w:r>
            <w:rPr>
              <w:rFonts w:hint="eastAsia" w:ascii="宋体" w:hAnsi="宋体" w:eastAsia="宋体" w:cs="宋体"/>
              <w:szCs w:val="30"/>
              <w:lang w:val="en-US" w:eastAsia="zh-CN"/>
            </w:rPr>
            <w:t>交易</w:t>
          </w:r>
          <w:r>
            <w:tab/>
          </w:r>
          <w:r>
            <w:fldChar w:fldCharType="begin"/>
          </w:r>
          <w:r>
            <w:instrText xml:space="preserve"> PAGEREF _Toc10351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14:paraId="101A5578">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_Toc5438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4.1. </w:t>
          </w:r>
          <w:r>
            <w:rPr>
              <w:rFonts w:hint="eastAsia" w:ascii="宋体" w:hAnsi="宋体" w:eastAsia="宋体" w:cs="宋体"/>
              <w:szCs w:val="30"/>
              <w:lang w:val="en-US" w:eastAsia="zh-CN"/>
            </w:rPr>
            <w:t>基础交易</w:t>
          </w:r>
          <w:r>
            <w:tab/>
          </w:r>
          <w:r>
            <w:fldChar w:fldCharType="begin"/>
          </w:r>
          <w:r>
            <w:instrText xml:space="preserve"> PAGEREF _Toc5438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14:paraId="75A8EFE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_Toc24747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4.1.1. </w:t>
          </w:r>
          <w:r>
            <w:rPr>
              <w:rFonts w:hint="eastAsia" w:ascii="宋体" w:hAnsi="宋体" w:eastAsia="宋体" w:cs="宋体"/>
              <w:szCs w:val="28"/>
              <w:lang w:val="en-US" w:eastAsia="zh-CN"/>
            </w:rPr>
            <w:t>普通交易</w:t>
          </w:r>
          <w:r>
            <w:tab/>
          </w:r>
          <w:r>
            <w:fldChar w:fldCharType="begin"/>
          </w:r>
          <w:r>
            <w:instrText xml:space="preserve"> PAGEREF _Toc24747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14:paraId="6E0FECB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_Toc32523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4.1.2. </w:t>
          </w:r>
          <w:r>
            <w:rPr>
              <w:rFonts w:hint="eastAsia" w:ascii="宋体" w:hAnsi="宋体" w:eastAsia="宋体" w:cs="宋体"/>
              <w:szCs w:val="28"/>
              <w:lang w:val="en-US" w:eastAsia="zh-CN"/>
            </w:rPr>
            <w:t>增强交易</w:t>
          </w:r>
          <w:r>
            <w:tab/>
          </w:r>
          <w:r>
            <w:fldChar w:fldCharType="begin"/>
          </w:r>
          <w:r>
            <w:instrText xml:space="preserve"> PAGEREF _Toc32523 \h </w:instrText>
          </w:r>
          <w:r>
            <w:fldChar w:fldCharType="separate"/>
          </w:r>
          <w:r>
            <w:t>9</w:t>
          </w:r>
          <w:r>
            <w:fldChar w:fldCharType="end"/>
          </w:r>
          <w:r>
            <w:rPr>
              <w:rFonts w:hint="eastAsia" w:ascii="宋体" w:hAnsi="宋体" w:eastAsia="宋体" w:cs="宋体"/>
              <w:kern w:val="2"/>
              <w:szCs w:val="24"/>
              <w:lang w:val="en-US" w:eastAsia="zh-CN" w:bidi="ar-SA"/>
            </w:rPr>
            <w:fldChar w:fldCharType="end"/>
          </w:r>
        </w:p>
        <w:p w14:paraId="5330139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_Toc16225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4.1.3. </w:t>
          </w:r>
          <w:r>
            <w:rPr>
              <w:rFonts w:hint="eastAsia" w:ascii="宋体" w:hAnsi="宋体" w:eastAsia="宋体" w:cs="宋体"/>
              <w:szCs w:val="28"/>
              <w:lang w:val="en-US" w:eastAsia="zh-CN"/>
            </w:rPr>
            <w:t>期权交易</w:t>
          </w:r>
          <w:r>
            <w:tab/>
          </w:r>
          <w:r>
            <w:fldChar w:fldCharType="begin"/>
          </w:r>
          <w:r>
            <w:instrText xml:space="preserve"> PAGEREF _Toc16225 \h </w:instrText>
          </w:r>
          <w:r>
            <w:fldChar w:fldCharType="separate"/>
          </w:r>
          <w:r>
            <w:t>12</w:t>
          </w:r>
          <w:r>
            <w:fldChar w:fldCharType="end"/>
          </w:r>
          <w:r>
            <w:rPr>
              <w:rFonts w:hint="eastAsia" w:ascii="宋体" w:hAnsi="宋体" w:eastAsia="宋体" w:cs="宋体"/>
              <w:kern w:val="2"/>
              <w:szCs w:val="24"/>
              <w:lang w:val="en-US" w:eastAsia="zh-CN" w:bidi="ar-SA"/>
            </w:rPr>
            <w:fldChar w:fldCharType="end"/>
          </w:r>
        </w:p>
        <w:p w14:paraId="5AB0538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_Toc5037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4.1.4. </w:t>
          </w:r>
          <w:r>
            <w:rPr>
              <w:rFonts w:hint="eastAsia" w:ascii="宋体" w:hAnsi="宋体" w:eastAsia="宋体" w:cs="宋体"/>
              <w:szCs w:val="28"/>
              <w:highlight w:val="none"/>
              <w:lang w:val="en-US" w:eastAsia="zh-CN"/>
            </w:rPr>
            <w:t>期货交易</w:t>
          </w:r>
          <w:r>
            <w:tab/>
          </w:r>
          <w:r>
            <w:fldChar w:fldCharType="begin"/>
          </w:r>
          <w:r>
            <w:instrText xml:space="preserve"> PAGEREF _Toc5037 \h </w:instrText>
          </w:r>
          <w:r>
            <w:fldChar w:fldCharType="separate"/>
          </w:r>
          <w:r>
            <w:t>18</w:t>
          </w:r>
          <w:r>
            <w:fldChar w:fldCharType="end"/>
          </w:r>
          <w:r>
            <w:rPr>
              <w:rFonts w:hint="eastAsia" w:ascii="宋体" w:hAnsi="宋体" w:eastAsia="宋体" w:cs="宋体"/>
              <w:kern w:val="2"/>
              <w:szCs w:val="24"/>
              <w:lang w:val="en-US" w:eastAsia="zh-CN" w:bidi="ar-SA"/>
            </w:rPr>
            <w:fldChar w:fldCharType="end"/>
          </w:r>
        </w:p>
        <w:p w14:paraId="3C945025">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_Toc24527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4.1.5. </w:t>
          </w:r>
          <w:r>
            <w:rPr>
              <w:rFonts w:hint="eastAsia" w:ascii="宋体" w:hAnsi="宋体" w:eastAsia="宋体" w:cs="宋体"/>
              <w:szCs w:val="28"/>
              <w:lang w:val="en-US" w:eastAsia="zh-CN"/>
            </w:rPr>
            <w:t>期货期权交易</w:t>
          </w:r>
          <w:r>
            <w:tab/>
          </w:r>
          <w:r>
            <w:fldChar w:fldCharType="begin"/>
          </w:r>
          <w:r>
            <w:instrText xml:space="preserve"> PAGEREF _Toc24527 \h </w:instrText>
          </w:r>
          <w:r>
            <w:fldChar w:fldCharType="separate"/>
          </w:r>
          <w:r>
            <w:t>22</w:t>
          </w:r>
          <w:r>
            <w:fldChar w:fldCharType="end"/>
          </w:r>
          <w:r>
            <w:rPr>
              <w:rFonts w:hint="eastAsia" w:ascii="宋体" w:hAnsi="宋体" w:eastAsia="宋体" w:cs="宋体"/>
              <w:kern w:val="2"/>
              <w:szCs w:val="24"/>
              <w:lang w:val="en-US" w:eastAsia="zh-CN" w:bidi="ar-SA"/>
            </w:rPr>
            <w:fldChar w:fldCharType="end"/>
          </w:r>
        </w:p>
        <w:p w14:paraId="7E2BDDA0">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_Toc17796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4.2. </w:t>
          </w:r>
          <w:r>
            <w:rPr>
              <w:rFonts w:hint="eastAsia" w:ascii="宋体" w:hAnsi="宋体" w:eastAsia="宋体" w:cs="宋体"/>
              <w:szCs w:val="28"/>
              <w:lang w:val="en-US" w:eastAsia="zh-CN"/>
            </w:rPr>
            <w:t>特色交易</w:t>
          </w:r>
          <w:r>
            <w:tab/>
          </w:r>
          <w:r>
            <w:fldChar w:fldCharType="begin"/>
          </w:r>
          <w:r>
            <w:instrText xml:space="preserve"> PAGEREF _Toc17796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14:paraId="38DEE69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_Toc1674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4.2.1. </w:t>
          </w:r>
          <w:r>
            <w:rPr>
              <w:rFonts w:hint="eastAsia" w:ascii="宋体" w:hAnsi="宋体" w:eastAsia="宋体" w:cs="宋体"/>
              <w:szCs w:val="28"/>
              <w:lang w:val="en-US" w:eastAsia="zh-CN"/>
            </w:rPr>
            <w:t>组合交易</w:t>
          </w:r>
          <w:r>
            <w:tab/>
          </w:r>
          <w:r>
            <w:fldChar w:fldCharType="begin"/>
          </w:r>
          <w:r>
            <w:instrText xml:space="preserve"> PAGEREF _Toc1674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14:paraId="4672C22E">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_Toc15291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4.3. </w:t>
          </w:r>
          <w:r>
            <w:rPr>
              <w:rFonts w:hint="eastAsia" w:ascii="宋体" w:hAnsi="宋体" w:eastAsia="宋体" w:cs="宋体"/>
              <w:szCs w:val="28"/>
              <w:lang w:val="en-US" w:eastAsia="zh-CN"/>
            </w:rPr>
            <w:t>算法交易</w:t>
          </w:r>
          <w:r>
            <w:tab/>
          </w:r>
          <w:r>
            <w:fldChar w:fldCharType="begin"/>
          </w:r>
          <w:r>
            <w:instrText xml:space="preserve"> PAGEREF _Toc15291 \h </w:instrText>
          </w:r>
          <w:r>
            <w:fldChar w:fldCharType="separate"/>
          </w:r>
          <w:r>
            <w:t>36</w:t>
          </w:r>
          <w:r>
            <w:fldChar w:fldCharType="end"/>
          </w:r>
          <w:r>
            <w:rPr>
              <w:rFonts w:hint="eastAsia" w:ascii="宋体" w:hAnsi="宋体" w:eastAsia="宋体" w:cs="宋体"/>
              <w:kern w:val="2"/>
              <w:szCs w:val="24"/>
              <w:lang w:val="en-US" w:eastAsia="zh-CN" w:bidi="ar-SA"/>
            </w:rPr>
            <w:fldChar w:fldCharType="end"/>
          </w:r>
        </w:p>
        <w:p w14:paraId="7CF93433">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_Toc1867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4.3.1. </w:t>
          </w:r>
          <w:r>
            <w:rPr>
              <w:rFonts w:hint="eastAsia" w:ascii="宋体" w:hAnsi="宋体" w:eastAsia="宋体" w:cs="宋体"/>
              <w:szCs w:val="28"/>
              <w:lang w:val="en-US" w:eastAsia="zh-CN"/>
            </w:rPr>
            <w:t>算法交易</w:t>
          </w:r>
          <w:r>
            <w:tab/>
          </w:r>
          <w:r>
            <w:fldChar w:fldCharType="begin"/>
          </w:r>
          <w:r>
            <w:instrText xml:space="preserve"> PAGEREF _Toc1867 \h </w:instrText>
          </w:r>
          <w:r>
            <w:fldChar w:fldCharType="separate"/>
          </w:r>
          <w:r>
            <w:t>36</w:t>
          </w:r>
          <w:r>
            <w:fldChar w:fldCharType="end"/>
          </w:r>
          <w:r>
            <w:rPr>
              <w:rFonts w:hint="eastAsia" w:ascii="宋体" w:hAnsi="宋体" w:eastAsia="宋体" w:cs="宋体"/>
              <w:kern w:val="2"/>
              <w:szCs w:val="24"/>
              <w:lang w:val="en-US" w:eastAsia="zh-CN" w:bidi="ar-SA"/>
            </w:rPr>
            <w:fldChar w:fldCharType="end"/>
          </w:r>
        </w:p>
        <w:p w14:paraId="52105C16">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_Toc10080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4.4. </w:t>
          </w:r>
          <w:r>
            <w:rPr>
              <w:rFonts w:hint="eastAsia" w:ascii="宋体" w:hAnsi="宋体" w:eastAsia="宋体" w:cs="宋体"/>
              <w:szCs w:val="28"/>
              <w:lang w:val="en-US" w:eastAsia="zh-CN"/>
            </w:rPr>
            <w:t>套利交易</w:t>
          </w:r>
          <w:r>
            <w:tab/>
          </w:r>
          <w:r>
            <w:fldChar w:fldCharType="begin"/>
          </w:r>
          <w:r>
            <w:instrText xml:space="preserve"> PAGEREF _Toc10080 \h </w:instrText>
          </w:r>
          <w:r>
            <w:fldChar w:fldCharType="separate"/>
          </w:r>
          <w:r>
            <w:t>42</w:t>
          </w:r>
          <w:r>
            <w:fldChar w:fldCharType="end"/>
          </w:r>
          <w:r>
            <w:rPr>
              <w:rFonts w:hint="eastAsia" w:ascii="宋体" w:hAnsi="宋体" w:eastAsia="宋体" w:cs="宋体"/>
              <w:kern w:val="2"/>
              <w:szCs w:val="24"/>
              <w:lang w:val="en-US" w:eastAsia="zh-CN" w:bidi="ar-SA"/>
            </w:rPr>
            <w:fldChar w:fldCharType="end"/>
          </w:r>
        </w:p>
        <w:p w14:paraId="1FCFA60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_Toc12863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4.4.1. </w:t>
          </w:r>
          <w:r>
            <w:rPr>
              <w:rFonts w:hint="eastAsia" w:ascii="宋体" w:hAnsi="宋体" w:eastAsia="宋体" w:cs="宋体"/>
              <w:szCs w:val="28"/>
              <w:lang w:val="en-US" w:eastAsia="zh-CN"/>
            </w:rPr>
            <w:t>套利雷达</w:t>
          </w:r>
          <w:r>
            <w:tab/>
          </w:r>
          <w:r>
            <w:fldChar w:fldCharType="begin"/>
          </w:r>
          <w:r>
            <w:instrText xml:space="preserve"> PAGEREF _Toc12863 \h </w:instrText>
          </w:r>
          <w:r>
            <w:fldChar w:fldCharType="separate"/>
          </w:r>
          <w:r>
            <w:t>42</w:t>
          </w:r>
          <w:r>
            <w:fldChar w:fldCharType="end"/>
          </w:r>
          <w:r>
            <w:rPr>
              <w:rFonts w:hint="eastAsia" w:ascii="宋体" w:hAnsi="宋体" w:eastAsia="宋体" w:cs="宋体"/>
              <w:kern w:val="2"/>
              <w:szCs w:val="24"/>
              <w:lang w:val="en-US" w:eastAsia="zh-CN" w:bidi="ar-SA"/>
            </w:rPr>
            <w:fldChar w:fldCharType="end"/>
          </w:r>
        </w:p>
        <w:p w14:paraId="0546F1C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_Toc13818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4.4.2. </w:t>
          </w:r>
          <w:r>
            <w:rPr>
              <w:rFonts w:hint="eastAsia" w:ascii="宋体" w:hAnsi="宋体" w:eastAsia="宋体" w:cs="宋体"/>
              <w:szCs w:val="24"/>
              <w:lang w:val="en-US" w:eastAsia="zh-CN"/>
            </w:rPr>
            <w:t>多品种套利申请</w:t>
          </w:r>
          <w:r>
            <w:tab/>
          </w:r>
          <w:r>
            <w:fldChar w:fldCharType="begin"/>
          </w:r>
          <w:r>
            <w:instrText xml:space="preserve"> PAGEREF _Toc13818 \h </w:instrText>
          </w:r>
          <w:r>
            <w:fldChar w:fldCharType="separate"/>
          </w:r>
          <w:r>
            <w:t>44</w:t>
          </w:r>
          <w:r>
            <w:fldChar w:fldCharType="end"/>
          </w:r>
          <w:r>
            <w:rPr>
              <w:rFonts w:hint="eastAsia" w:ascii="宋体" w:hAnsi="宋体" w:eastAsia="宋体" w:cs="宋体"/>
              <w:kern w:val="2"/>
              <w:szCs w:val="24"/>
              <w:lang w:val="en-US" w:eastAsia="zh-CN" w:bidi="ar-SA"/>
            </w:rPr>
            <w:fldChar w:fldCharType="end"/>
          </w:r>
        </w:p>
        <w:p w14:paraId="3E3B01C0">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_Toc19637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4.4.3. </w:t>
          </w:r>
          <w:r>
            <w:rPr>
              <w:rFonts w:hint="eastAsia" w:ascii="宋体" w:hAnsi="宋体" w:eastAsia="宋体" w:cs="宋体"/>
              <w:szCs w:val="24"/>
              <w:lang w:val="en-US" w:eastAsia="zh-CN"/>
            </w:rPr>
            <w:t>多品种套利</w:t>
          </w:r>
          <w:r>
            <w:tab/>
          </w:r>
          <w:r>
            <w:fldChar w:fldCharType="begin"/>
          </w:r>
          <w:r>
            <w:instrText xml:space="preserve"> PAGEREF _Toc19637 \h </w:instrText>
          </w:r>
          <w:r>
            <w:fldChar w:fldCharType="separate"/>
          </w:r>
          <w:r>
            <w:t>45</w:t>
          </w:r>
          <w:r>
            <w:fldChar w:fldCharType="end"/>
          </w:r>
          <w:r>
            <w:rPr>
              <w:rFonts w:hint="eastAsia" w:ascii="宋体" w:hAnsi="宋体" w:eastAsia="宋体" w:cs="宋体"/>
              <w:kern w:val="2"/>
              <w:szCs w:val="24"/>
              <w:lang w:val="en-US" w:eastAsia="zh-CN" w:bidi="ar-SA"/>
            </w:rPr>
            <w:fldChar w:fldCharType="end"/>
          </w:r>
        </w:p>
        <w:p w14:paraId="4E7A728D">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_Toc13810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4.5. </w:t>
          </w:r>
          <w:r>
            <w:rPr>
              <w:rFonts w:hint="eastAsia" w:ascii="宋体" w:hAnsi="宋体" w:eastAsia="宋体" w:cs="宋体"/>
              <w:szCs w:val="28"/>
              <w:lang w:val="en-US" w:eastAsia="zh-CN"/>
            </w:rPr>
            <w:t>指令流程</w:t>
          </w:r>
          <w:r>
            <w:tab/>
          </w:r>
          <w:r>
            <w:fldChar w:fldCharType="begin"/>
          </w:r>
          <w:r>
            <w:instrText xml:space="preserve"> PAGEREF _Toc13810 \h </w:instrText>
          </w:r>
          <w:r>
            <w:fldChar w:fldCharType="separate"/>
          </w:r>
          <w:r>
            <w:t>57</w:t>
          </w:r>
          <w:r>
            <w:fldChar w:fldCharType="end"/>
          </w:r>
          <w:r>
            <w:rPr>
              <w:rFonts w:hint="eastAsia" w:ascii="宋体" w:hAnsi="宋体" w:eastAsia="宋体" w:cs="宋体"/>
              <w:kern w:val="2"/>
              <w:szCs w:val="24"/>
              <w:lang w:val="en-US" w:eastAsia="zh-CN" w:bidi="ar-SA"/>
            </w:rPr>
            <w:fldChar w:fldCharType="end"/>
          </w:r>
        </w:p>
        <w:p w14:paraId="4670F03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_Toc30816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4.5.1. </w:t>
          </w:r>
          <w:r>
            <w:rPr>
              <w:rFonts w:hint="eastAsia" w:ascii="宋体" w:hAnsi="宋体" w:eastAsia="宋体" w:cs="宋体"/>
              <w:szCs w:val="28"/>
              <w:lang w:val="en-US" w:eastAsia="zh-CN"/>
            </w:rPr>
            <w:t>指令说明</w:t>
          </w:r>
          <w:r>
            <w:tab/>
          </w:r>
          <w:r>
            <w:fldChar w:fldCharType="begin"/>
          </w:r>
          <w:r>
            <w:instrText xml:space="preserve"> PAGEREF _Toc30816 \h </w:instrText>
          </w:r>
          <w:r>
            <w:fldChar w:fldCharType="separate"/>
          </w:r>
          <w:r>
            <w:t>57</w:t>
          </w:r>
          <w:r>
            <w:fldChar w:fldCharType="end"/>
          </w:r>
          <w:r>
            <w:rPr>
              <w:rFonts w:hint="eastAsia" w:ascii="宋体" w:hAnsi="宋体" w:eastAsia="宋体" w:cs="宋体"/>
              <w:kern w:val="2"/>
              <w:szCs w:val="24"/>
              <w:lang w:val="en-US" w:eastAsia="zh-CN" w:bidi="ar-SA"/>
            </w:rPr>
            <w:fldChar w:fldCharType="end"/>
          </w:r>
        </w:p>
        <w:p w14:paraId="72AC4863">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_Toc25435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4.5.2. </w:t>
          </w:r>
          <w:r>
            <w:rPr>
              <w:rFonts w:hint="eastAsia" w:ascii="宋体" w:hAnsi="宋体" w:eastAsia="宋体" w:cs="宋体"/>
              <w:szCs w:val="28"/>
              <w:lang w:val="en-US" w:eastAsia="zh-CN"/>
            </w:rPr>
            <w:t>指令下达</w:t>
          </w:r>
          <w:r>
            <w:tab/>
          </w:r>
          <w:r>
            <w:fldChar w:fldCharType="begin"/>
          </w:r>
          <w:r>
            <w:instrText xml:space="preserve"> PAGEREF _Toc25435 \h </w:instrText>
          </w:r>
          <w:r>
            <w:fldChar w:fldCharType="separate"/>
          </w:r>
          <w:r>
            <w:t>57</w:t>
          </w:r>
          <w:r>
            <w:fldChar w:fldCharType="end"/>
          </w:r>
          <w:r>
            <w:rPr>
              <w:rFonts w:hint="eastAsia" w:ascii="宋体" w:hAnsi="宋体" w:eastAsia="宋体" w:cs="宋体"/>
              <w:kern w:val="2"/>
              <w:szCs w:val="24"/>
              <w:lang w:val="en-US" w:eastAsia="zh-CN" w:bidi="ar-SA"/>
            </w:rPr>
            <w:fldChar w:fldCharType="end"/>
          </w:r>
        </w:p>
        <w:p w14:paraId="5E7495A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_Toc17799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4.5.3. </w:t>
          </w:r>
          <w:r>
            <w:rPr>
              <w:rFonts w:hint="eastAsia" w:ascii="宋体" w:hAnsi="宋体" w:eastAsia="宋体" w:cs="宋体"/>
              <w:szCs w:val="28"/>
              <w:lang w:val="en-US" w:eastAsia="zh-CN"/>
            </w:rPr>
            <w:t>指令审批</w:t>
          </w:r>
          <w:r>
            <w:tab/>
          </w:r>
          <w:r>
            <w:fldChar w:fldCharType="begin"/>
          </w:r>
          <w:r>
            <w:instrText xml:space="preserve"> PAGEREF _Toc17799 \h </w:instrText>
          </w:r>
          <w:r>
            <w:fldChar w:fldCharType="separate"/>
          </w:r>
          <w:r>
            <w:t>59</w:t>
          </w:r>
          <w:r>
            <w:fldChar w:fldCharType="end"/>
          </w:r>
          <w:r>
            <w:rPr>
              <w:rFonts w:hint="eastAsia" w:ascii="宋体" w:hAnsi="宋体" w:eastAsia="宋体" w:cs="宋体"/>
              <w:kern w:val="2"/>
              <w:szCs w:val="24"/>
              <w:lang w:val="en-US" w:eastAsia="zh-CN" w:bidi="ar-SA"/>
            </w:rPr>
            <w:fldChar w:fldCharType="end"/>
          </w:r>
        </w:p>
        <w:p w14:paraId="1CEA7CFF">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_Toc18392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4.5.4. </w:t>
          </w:r>
          <w:r>
            <w:rPr>
              <w:rFonts w:hint="eastAsia" w:ascii="宋体" w:hAnsi="宋体" w:eastAsia="宋体" w:cs="宋体"/>
              <w:szCs w:val="28"/>
              <w:lang w:val="en-US" w:eastAsia="zh-CN"/>
            </w:rPr>
            <w:t>指令分发</w:t>
          </w:r>
          <w:r>
            <w:tab/>
          </w:r>
          <w:r>
            <w:fldChar w:fldCharType="begin"/>
          </w:r>
          <w:r>
            <w:instrText xml:space="preserve"> PAGEREF _Toc18392 \h </w:instrText>
          </w:r>
          <w:r>
            <w:fldChar w:fldCharType="separate"/>
          </w:r>
          <w:r>
            <w:t>59</w:t>
          </w:r>
          <w:r>
            <w:fldChar w:fldCharType="end"/>
          </w:r>
          <w:r>
            <w:rPr>
              <w:rFonts w:hint="eastAsia" w:ascii="宋体" w:hAnsi="宋体" w:eastAsia="宋体" w:cs="宋体"/>
              <w:kern w:val="2"/>
              <w:szCs w:val="24"/>
              <w:lang w:val="en-US" w:eastAsia="zh-CN" w:bidi="ar-SA"/>
            </w:rPr>
            <w:fldChar w:fldCharType="end"/>
          </w:r>
        </w:p>
        <w:p w14:paraId="7C38C1DD">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_Toc20442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4.5.5. </w:t>
          </w:r>
          <w:r>
            <w:rPr>
              <w:rFonts w:hint="eastAsia" w:ascii="宋体" w:hAnsi="宋体" w:eastAsia="宋体" w:cs="宋体"/>
              <w:szCs w:val="28"/>
              <w:lang w:val="en-US" w:eastAsia="zh-CN"/>
            </w:rPr>
            <w:t>指令执行</w:t>
          </w:r>
          <w:r>
            <w:tab/>
          </w:r>
          <w:r>
            <w:fldChar w:fldCharType="begin"/>
          </w:r>
          <w:r>
            <w:instrText xml:space="preserve"> PAGEREF _Toc20442 \h </w:instrText>
          </w:r>
          <w:r>
            <w:fldChar w:fldCharType="separate"/>
          </w:r>
          <w:r>
            <w:t>59</w:t>
          </w:r>
          <w:r>
            <w:fldChar w:fldCharType="end"/>
          </w:r>
          <w:r>
            <w:rPr>
              <w:rFonts w:hint="eastAsia" w:ascii="宋体" w:hAnsi="宋体" w:eastAsia="宋体" w:cs="宋体"/>
              <w:kern w:val="2"/>
              <w:szCs w:val="24"/>
              <w:lang w:val="en-US" w:eastAsia="zh-CN" w:bidi="ar-SA"/>
            </w:rPr>
            <w:fldChar w:fldCharType="end"/>
          </w:r>
        </w:p>
        <w:p w14:paraId="45525D11">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_Toc11940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4.5.6. </w:t>
          </w:r>
          <w:r>
            <w:rPr>
              <w:rFonts w:hint="eastAsia" w:ascii="宋体" w:hAnsi="宋体" w:eastAsia="宋体" w:cs="宋体"/>
              <w:szCs w:val="28"/>
              <w:lang w:val="en-US" w:eastAsia="zh-CN"/>
            </w:rPr>
            <w:t>指令撤销</w:t>
          </w:r>
          <w:r>
            <w:tab/>
          </w:r>
          <w:r>
            <w:fldChar w:fldCharType="begin"/>
          </w:r>
          <w:r>
            <w:instrText xml:space="preserve"> PAGEREF _Toc11940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22DE365B">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_Toc708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4.6. </w:t>
          </w:r>
          <w:r>
            <w:rPr>
              <w:rFonts w:hint="eastAsia" w:ascii="宋体" w:hAnsi="宋体" w:eastAsia="宋体" w:cs="宋体"/>
              <w:szCs w:val="28"/>
              <w:lang w:val="en-US" w:eastAsia="zh-CN"/>
            </w:rPr>
            <w:t>运营管理</w:t>
          </w:r>
          <w:r>
            <w:tab/>
          </w:r>
          <w:r>
            <w:fldChar w:fldCharType="begin"/>
          </w:r>
          <w:r>
            <w:instrText xml:space="preserve"> PAGEREF _Toc708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1BD98FAD">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_Toc30232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4.6.1. </w:t>
          </w:r>
          <w:r>
            <w:rPr>
              <w:rFonts w:hint="eastAsia" w:ascii="宋体" w:hAnsi="宋体" w:eastAsia="宋体" w:cs="宋体"/>
              <w:szCs w:val="28"/>
              <w:lang w:val="en-US" w:eastAsia="zh-CN"/>
            </w:rPr>
            <w:t>消息中心</w:t>
          </w:r>
          <w:r>
            <w:tab/>
          </w:r>
          <w:r>
            <w:fldChar w:fldCharType="begin"/>
          </w:r>
          <w:r>
            <w:instrText xml:space="preserve"> PAGEREF _Toc30232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56055F10">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_Toc18800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4.7. </w:t>
          </w:r>
          <w:r>
            <w:rPr>
              <w:rFonts w:hint="eastAsia" w:ascii="宋体" w:hAnsi="宋体" w:eastAsia="宋体" w:cs="宋体"/>
              <w:szCs w:val="28"/>
              <w:lang w:val="en-US" w:eastAsia="zh-CN"/>
            </w:rPr>
            <w:t>收藏</w:t>
          </w:r>
          <w:r>
            <w:tab/>
          </w:r>
          <w:r>
            <w:fldChar w:fldCharType="begin"/>
          </w:r>
          <w:r>
            <w:instrText xml:space="preserve"> PAGEREF _Toc18800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4955D2D8">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_Toc4638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5. </w:t>
          </w:r>
          <w:r>
            <w:rPr>
              <w:rFonts w:hint="eastAsia" w:ascii="宋体" w:hAnsi="宋体" w:eastAsia="宋体" w:cs="宋体"/>
              <w:szCs w:val="30"/>
              <w:lang w:val="en-US" w:eastAsia="zh-CN"/>
            </w:rPr>
            <w:t>行情</w:t>
          </w:r>
          <w:r>
            <w:tab/>
          </w:r>
          <w:r>
            <w:fldChar w:fldCharType="begin"/>
          </w:r>
          <w:r>
            <w:instrText xml:space="preserve"> PAGEREF _Toc4638 \h </w:instrText>
          </w:r>
          <w:r>
            <w:fldChar w:fldCharType="separate"/>
          </w:r>
          <w:r>
            <w:t>60</w:t>
          </w:r>
          <w:r>
            <w:fldChar w:fldCharType="end"/>
          </w:r>
          <w:r>
            <w:rPr>
              <w:rFonts w:hint="eastAsia" w:ascii="宋体" w:hAnsi="宋体" w:eastAsia="宋体" w:cs="宋体"/>
              <w:kern w:val="2"/>
              <w:szCs w:val="24"/>
              <w:lang w:val="en-US" w:eastAsia="zh-CN" w:bidi="ar-SA"/>
            </w:rPr>
            <w:fldChar w:fldCharType="end"/>
          </w:r>
        </w:p>
        <w:p w14:paraId="1E163D9E">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_Toc20447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5.1. </w:t>
          </w:r>
          <w:r>
            <w:rPr>
              <w:rFonts w:hint="eastAsia" w:ascii="宋体" w:hAnsi="宋体" w:eastAsia="宋体" w:cs="宋体"/>
              <w:szCs w:val="28"/>
              <w:lang w:val="en-US" w:eastAsia="zh-CN"/>
            </w:rPr>
            <w:t>期货行情</w:t>
          </w:r>
          <w:r>
            <w:tab/>
          </w:r>
          <w:r>
            <w:fldChar w:fldCharType="begin"/>
          </w:r>
          <w:r>
            <w:instrText xml:space="preserve"> PAGEREF _Toc20447 \h </w:instrText>
          </w:r>
          <w:r>
            <w:fldChar w:fldCharType="separate"/>
          </w:r>
          <w:r>
            <w:t>61</w:t>
          </w:r>
          <w:r>
            <w:fldChar w:fldCharType="end"/>
          </w:r>
          <w:r>
            <w:rPr>
              <w:rFonts w:hint="eastAsia" w:ascii="宋体" w:hAnsi="宋体" w:eastAsia="宋体" w:cs="宋体"/>
              <w:kern w:val="2"/>
              <w:szCs w:val="24"/>
              <w:lang w:val="en-US" w:eastAsia="zh-CN" w:bidi="ar-SA"/>
            </w:rPr>
            <w:fldChar w:fldCharType="end"/>
          </w:r>
        </w:p>
        <w:p w14:paraId="729E083A">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_Toc28527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5.2. </w:t>
          </w:r>
          <w:r>
            <w:rPr>
              <w:rFonts w:hint="eastAsia" w:ascii="宋体" w:hAnsi="宋体" w:eastAsia="宋体" w:cs="宋体"/>
              <w:szCs w:val="28"/>
              <w:lang w:val="en-US" w:eastAsia="zh-CN"/>
            </w:rPr>
            <w:t>期权行情</w:t>
          </w:r>
          <w:r>
            <w:tab/>
          </w:r>
          <w:r>
            <w:fldChar w:fldCharType="begin"/>
          </w:r>
          <w:r>
            <w:instrText xml:space="preserve"> PAGEREF _Toc28527 \h </w:instrText>
          </w:r>
          <w:r>
            <w:fldChar w:fldCharType="separate"/>
          </w:r>
          <w:r>
            <w:t>61</w:t>
          </w:r>
          <w:r>
            <w:fldChar w:fldCharType="end"/>
          </w:r>
          <w:r>
            <w:rPr>
              <w:rFonts w:hint="eastAsia" w:ascii="宋体" w:hAnsi="宋体" w:eastAsia="宋体" w:cs="宋体"/>
              <w:kern w:val="2"/>
              <w:szCs w:val="24"/>
              <w:lang w:val="en-US" w:eastAsia="zh-CN" w:bidi="ar-SA"/>
            </w:rPr>
            <w:fldChar w:fldCharType="end"/>
          </w:r>
        </w:p>
        <w:p w14:paraId="6DB8C2BC">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_Toc26044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30"/>
              <w:lang w:val="en-US" w:eastAsia="zh-CN"/>
            </w:rPr>
            <w:t xml:space="preserve">6. </w:t>
          </w:r>
          <w:r>
            <w:rPr>
              <w:rFonts w:hint="eastAsia" w:ascii="宋体" w:hAnsi="宋体" w:eastAsia="宋体" w:cs="宋体"/>
              <w:szCs w:val="30"/>
              <w:lang w:val="en-US" w:eastAsia="zh-CN"/>
            </w:rPr>
            <w:t>特色服务</w:t>
          </w:r>
          <w:r>
            <w:tab/>
          </w:r>
          <w:r>
            <w:fldChar w:fldCharType="begin"/>
          </w:r>
          <w:r>
            <w:instrText xml:space="preserve"> PAGEREF _Toc26044 \h </w:instrText>
          </w:r>
          <w:r>
            <w:fldChar w:fldCharType="separate"/>
          </w:r>
          <w:r>
            <w:t>62</w:t>
          </w:r>
          <w:r>
            <w:fldChar w:fldCharType="end"/>
          </w:r>
          <w:r>
            <w:rPr>
              <w:rFonts w:hint="eastAsia" w:ascii="宋体" w:hAnsi="宋体" w:eastAsia="宋体" w:cs="宋体"/>
              <w:kern w:val="2"/>
              <w:szCs w:val="24"/>
              <w:lang w:val="en-US" w:eastAsia="zh-CN" w:bidi="ar-SA"/>
            </w:rPr>
            <w:fldChar w:fldCharType="end"/>
          </w:r>
        </w:p>
        <w:p w14:paraId="7474B39E">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_Toc9614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6.1. </w:t>
          </w:r>
          <w:r>
            <w:rPr>
              <w:rFonts w:hint="eastAsia" w:ascii="宋体" w:hAnsi="宋体" w:eastAsia="宋体" w:cs="宋体"/>
              <w:szCs w:val="28"/>
              <w:lang w:val="en-US" w:eastAsia="zh-CN"/>
            </w:rPr>
            <w:t>私募一体化</w:t>
          </w:r>
          <w:r>
            <w:tab/>
          </w:r>
          <w:r>
            <w:fldChar w:fldCharType="begin"/>
          </w:r>
          <w:r>
            <w:instrText xml:space="preserve"> PAGEREF _Toc9614 \h </w:instrText>
          </w:r>
          <w:r>
            <w:fldChar w:fldCharType="separate"/>
          </w:r>
          <w:r>
            <w:t>62</w:t>
          </w:r>
          <w:r>
            <w:fldChar w:fldCharType="end"/>
          </w:r>
          <w:r>
            <w:rPr>
              <w:rFonts w:hint="eastAsia" w:ascii="宋体" w:hAnsi="宋体" w:eastAsia="宋体" w:cs="宋体"/>
              <w:kern w:val="2"/>
              <w:szCs w:val="24"/>
              <w:lang w:val="en-US" w:eastAsia="zh-CN" w:bidi="ar-SA"/>
            </w:rPr>
            <w:fldChar w:fldCharType="end"/>
          </w:r>
        </w:p>
        <w:p w14:paraId="7A032396">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_Toc22744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6.2. </w:t>
          </w:r>
          <w:r>
            <w:rPr>
              <w:rFonts w:hint="eastAsia" w:ascii="宋体" w:hAnsi="宋体" w:eastAsia="宋体" w:cs="宋体"/>
              <w:szCs w:val="28"/>
              <w:lang w:val="en-US" w:eastAsia="zh-CN"/>
            </w:rPr>
            <w:t>量化投研平台</w:t>
          </w:r>
          <w:r>
            <w:tab/>
          </w:r>
          <w:r>
            <w:fldChar w:fldCharType="begin"/>
          </w:r>
          <w:r>
            <w:instrText xml:space="preserve"> PAGEREF _Toc22744 \h </w:instrText>
          </w:r>
          <w:r>
            <w:fldChar w:fldCharType="separate"/>
          </w:r>
          <w:r>
            <w:t>63</w:t>
          </w:r>
          <w:r>
            <w:fldChar w:fldCharType="end"/>
          </w:r>
          <w:r>
            <w:rPr>
              <w:rFonts w:hint="eastAsia" w:ascii="宋体" w:hAnsi="宋体" w:eastAsia="宋体" w:cs="宋体"/>
              <w:kern w:val="2"/>
              <w:szCs w:val="24"/>
              <w:lang w:val="en-US" w:eastAsia="zh-CN" w:bidi="ar-SA"/>
            </w:rPr>
            <w:fldChar w:fldCharType="end"/>
          </w:r>
        </w:p>
        <w:p w14:paraId="4855E0B2">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_Toc5605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6.3. </w:t>
          </w:r>
          <w:r>
            <w:rPr>
              <w:rFonts w:hint="eastAsia" w:ascii="宋体" w:hAnsi="宋体" w:eastAsia="宋体" w:cs="宋体"/>
              <w:szCs w:val="28"/>
              <w:lang w:val="en-US" w:eastAsia="zh-CN"/>
            </w:rPr>
            <w:t>低延时实验室</w:t>
          </w:r>
          <w:r>
            <w:tab/>
          </w:r>
          <w:r>
            <w:fldChar w:fldCharType="begin"/>
          </w:r>
          <w:r>
            <w:instrText xml:space="preserve"> PAGEREF _Toc5605 \h </w:instrText>
          </w:r>
          <w:r>
            <w:fldChar w:fldCharType="separate"/>
          </w:r>
          <w:r>
            <w:t>65</w:t>
          </w:r>
          <w:r>
            <w:fldChar w:fldCharType="end"/>
          </w:r>
          <w:r>
            <w:rPr>
              <w:rFonts w:hint="eastAsia" w:ascii="宋体" w:hAnsi="宋体" w:eastAsia="宋体" w:cs="宋体"/>
              <w:kern w:val="2"/>
              <w:szCs w:val="24"/>
              <w:lang w:val="en-US" w:eastAsia="zh-CN" w:bidi="ar-SA"/>
            </w:rPr>
            <w:fldChar w:fldCharType="end"/>
          </w:r>
        </w:p>
        <w:p w14:paraId="6D954E51">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_Toc3184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7. </w:t>
          </w:r>
          <w:r>
            <w:rPr>
              <w:rFonts w:hint="eastAsia" w:ascii="宋体" w:hAnsi="宋体" w:eastAsia="宋体" w:cs="宋体"/>
              <w:bCs w:val="0"/>
              <w:szCs w:val="30"/>
              <w:lang w:val="en-US" w:eastAsia="zh-CN"/>
            </w:rPr>
            <w:t>系统</w:t>
          </w:r>
          <w:r>
            <w:tab/>
          </w:r>
          <w:r>
            <w:fldChar w:fldCharType="begin"/>
          </w:r>
          <w:r>
            <w:instrText xml:space="preserve"> PAGEREF _Toc3184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04735AA6">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_Toc18535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28"/>
              <w:lang w:val="en-US" w:eastAsia="zh-CN"/>
            </w:rPr>
            <w:t xml:space="preserve">7.1. </w:t>
          </w:r>
          <w:r>
            <w:rPr>
              <w:rFonts w:hint="eastAsia" w:ascii="宋体" w:hAnsi="宋体" w:eastAsia="宋体" w:cs="宋体"/>
              <w:bCs w:val="0"/>
              <w:szCs w:val="28"/>
              <w:lang w:val="en-US" w:eastAsia="zh-CN"/>
            </w:rPr>
            <w:t>资金账号</w:t>
          </w:r>
          <w:r>
            <w:tab/>
          </w:r>
          <w:r>
            <w:fldChar w:fldCharType="begin"/>
          </w:r>
          <w:r>
            <w:instrText xml:space="preserve"> PAGEREF _Toc18535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6491525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_Toc31656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7.1.1. </w:t>
          </w:r>
          <w:r>
            <w:rPr>
              <w:rFonts w:hint="eastAsia" w:ascii="宋体" w:hAnsi="宋体" w:eastAsia="宋体" w:cs="宋体"/>
              <w:szCs w:val="28"/>
              <w:lang w:val="en-US" w:eastAsia="zh-CN"/>
            </w:rPr>
            <w:t>我要开户</w:t>
          </w:r>
          <w:r>
            <w:tab/>
          </w:r>
          <w:r>
            <w:fldChar w:fldCharType="begin"/>
          </w:r>
          <w:r>
            <w:instrText xml:space="preserve"> PAGEREF _Toc31656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3C6307E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_Toc6821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7.1.2. </w:t>
          </w:r>
          <w:r>
            <w:rPr>
              <w:rFonts w:hint="eastAsia" w:ascii="宋体" w:hAnsi="宋体" w:eastAsia="宋体" w:cs="宋体"/>
              <w:szCs w:val="28"/>
              <w:lang w:val="en-US" w:eastAsia="zh-CN"/>
            </w:rPr>
            <w:t>账户管理</w:t>
          </w:r>
          <w:r>
            <w:tab/>
          </w:r>
          <w:r>
            <w:fldChar w:fldCharType="begin"/>
          </w:r>
          <w:r>
            <w:instrText xml:space="preserve"> PAGEREF _Toc6821 \h </w:instrText>
          </w:r>
          <w:r>
            <w:fldChar w:fldCharType="separate"/>
          </w:r>
          <w:r>
            <w:t>66</w:t>
          </w:r>
          <w:r>
            <w:fldChar w:fldCharType="end"/>
          </w:r>
          <w:r>
            <w:rPr>
              <w:rFonts w:hint="eastAsia" w:ascii="宋体" w:hAnsi="宋体" w:eastAsia="宋体" w:cs="宋体"/>
              <w:kern w:val="2"/>
              <w:szCs w:val="24"/>
              <w:lang w:val="en-US" w:eastAsia="zh-CN" w:bidi="ar-SA"/>
            </w:rPr>
            <w:fldChar w:fldCharType="end"/>
          </w:r>
        </w:p>
        <w:p w14:paraId="78F35982">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_Toc2274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28"/>
              <w:lang w:val="en-US" w:eastAsia="zh-CN"/>
            </w:rPr>
            <w:t xml:space="preserve">7.2. </w:t>
          </w:r>
          <w:r>
            <w:rPr>
              <w:rFonts w:hint="eastAsia" w:ascii="宋体" w:hAnsi="宋体" w:eastAsia="宋体" w:cs="宋体"/>
              <w:bCs w:val="0"/>
              <w:szCs w:val="28"/>
              <w:lang w:val="en-US" w:eastAsia="zh-CN"/>
            </w:rPr>
            <w:t>关于</w:t>
          </w:r>
          <w:r>
            <w:tab/>
          </w:r>
          <w:r>
            <w:fldChar w:fldCharType="begin"/>
          </w:r>
          <w:r>
            <w:instrText xml:space="preserve"> PAGEREF _Toc2274 \h </w:instrText>
          </w:r>
          <w:r>
            <w:fldChar w:fldCharType="separate"/>
          </w:r>
          <w:r>
            <w:t>68</w:t>
          </w:r>
          <w:r>
            <w:fldChar w:fldCharType="end"/>
          </w:r>
          <w:r>
            <w:rPr>
              <w:rFonts w:hint="eastAsia" w:ascii="宋体" w:hAnsi="宋体" w:eastAsia="宋体" w:cs="宋体"/>
              <w:kern w:val="2"/>
              <w:szCs w:val="24"/>
              <w:lang w:val="en-US" w:eastAsia="zh-CN" w:bidi="ar-SA"/>
            </w:rPr>
            <w:fldChar w:fldCharType="end"/>
          </w:r>
        </w:p>
        <w:p w14:paraId="17DBEA87">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_Toc15422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7.2.1. </w:t>
          </w:r>
          <w:r>
            <w:rPr>
              <w:rFonts w:hint="eastAsia" w:ascii="宋体" w:hAnsi="宋体" w:eastAsia="宋体" w:cs="宋体"/>
              <w:szCs w:val="28"/>
              <w:lang w:val="en-US" w:eastAsia="zh-CN"/>
            </w:rPr>
            <w:t>关于我们</w:t>
          </w:r>
          <w:r>
            <w:tab/>
          </w:r>
          <w:r>
            <w:fldChar w:fldCharType="begin"/>
          </w:r>
          <w:r>
            <w:instrText xml:space="preserve"> PAGEREF _Toc15422 \h </w:instrText>
          </w:r>
          <w:r>
            <w:fldChar w:fldCharType="separate"/>
          </w:r>
          <w:r>
            <w:t>68</w:t>
          </w:r>
          <w:r>
            <w:fldChar w:fldCharType="end"/>
          </w:r>
          <w:r>
            <w:rPr>
              <w:rFonts w:hint="eastAsia" w:ascii="宋体" w:hAnsi="宋体" w:eastAsia="宋体" w:cs="宋体"/>
              <w:kern w:val="2"/>
              <w:szCs w:val="24"/>
              <w:lang w:val="en-US" w:eastAsia="zh-CN" w:bidi="ar-SA"/>
            </w:rPr>
            <w:fldChar w:fldCharType="end"/>
          </w:r>
        </w:p>
        <w:p w14:paraId="5A375D86">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_Toc18655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7.2.2. </w:t>
          </w:r>
          <w:r>
            <w:rPr>
              <w:rFonts w:hint="eastAsia" w:ascii="宋体" w:hAnsi="宋体" w:eastAsia="宋体" w:cs="宋体"/>
              <w:szCs w:val="28"/>
              <w:lang w:val="en-US" w:eastAsia="zh-CN"/>
            </w:rPr>
            <w:t>注销账号</w:t>
          </w:r>
          <w:r>
            <w:tab/>
          </w:r>
          <w:r>
            <w:fldChar w:fldCharType="begin"/>
          </w:r>
          <w:r>
            <w:instrText xml:space="preserve"> PAGEREF _Toc18655 \h </w:instrText>
          </w:r>
          <w:r>
            <w:fldChar w:fldCharType="separate"/>
          </w:r>
          <w:r>
            <w:t>68</w:t>
          </w:r>
          <w:r>
            <w:fldChar w:fldCharType="end"/>
          </w:r>
          <w:r>
            <w:rPr>
              <w:rFonts w:hint="eastAsia" w:ascii="宋体" w:hAnsi="宋体" w:eastAsia="宋体" w:cs="宋体"/>
              <w:kern w:val="2"/>
              <w:szCs w:val="24"/>
              <w:lang w:val="en-US" w:eastAsia="zh-CN" w:bidi="ar-SA"/>
            </w:rPr>
            <w:fldChar w:fldCharType="end"/>
          </w:r>
        </w:p>
        <w:p w14:paraId="15742445">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_Toc3084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8. </w:t>
          </w:r>
          <w:r>
            <w:rPr>
              <w:rFonts w:hint="eastAsia" w:ascii="宋体" w:hAnsi="宋体" w:eastAsia="宋体" w:cs="宋体"/>
              <w:bCs w:val="0"/>
              <w:szCs w:val="30"/>
              <w:lang w:val="en-US" w:eastAsia="zh-CN"/>
            </w:rPr>
            <w:t>组件列表</w:t>
          </w:r>
          <w:r>
            <w:tab/>
          </w:r>
          <w:r>
            <w:fldChar w:fldCharType="begin"/>
          </w:r>
          <w:r>
            <w:instrText xml:space="preserve"> PAGEREF _Toc3084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5CD01433">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_Toc12232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9. </w:t>
          </w:r>
          <w:r>
            <w:rPr>
              <w:rFonts w:hint="eastAsia" w:ascii="宋体" w:hAnsi="宋体" w:eastAsia="宋体" w:cs="宋体"/>
              <w:bCs w:val="0"/>
              <w:szCs w:val="30"/>
              <w:lang w:val="en-US" w:eastAsia="zh-CN"/>
            </w:rPr>
            <w:t>用户数据上传下载</w:t>
          </w:r>
          <w:r>
            <w:tab/>
          </w:r>
          <w:r>
            <w:fldChar w:fldCharType="begin"/>
          </w:r>
          <w:r>
            <w:instrText xml:space="preserve"> PAGEREF _Toc12232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1F019F85">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_Toc17278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10. </w:t>
          </w:r>
          <w:r>
            <w:rPr>
              <w:rFonts w:hint="eastAsia" w:ascii="宋体" w:hAnsi="宋体" w:eastAsia="宋体" w:cs="宋体"/>
              <w:bCs w:val="0"/>
              <w:szCs w:val="30"/>
              <w:lang w:val="en-US" w:eastAsia="zh-CN"/>
            </w:rPr>
            <w:t>设置</w:t>
          </w:r>
          <w:r>
            <w:tab/>
          </w:r>
          <w:r>
            <w:fldChar w:fldCharType="begin"/>
          </w:r>
          <w:r>
            <w:instrText xml:space="preserve"> PAGEREF _Toc17278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16CBE98A">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_Toc30604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10.1. </w:t>
          </w:r>
          <w:r>
            <w:rPr>
              <w:rFonts w:hint="eastAsia" w:ascii="宋体" w:hAnsi="宋体" w:eastAsia="宋体" w:cs="宋体"/>
              <w:szCs w:val="28"/>
              <w:lang w:val="en-US" w:eastAsia="zh-CN"/>
            </w:rPr>
            <w:t>交易设置</w:t>
          </w:r>
          <w:r>
            <w:tab/>
          </w:r>
          <w:r>
            <w:fldChar w:fldCharType="begin"/>
          </w:r>
          <w:r>
            <w:instrText xml:space="preserve"> PAGEREF _Toc30604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528AFB2A">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_Toc2560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10.1.1. </w:t>
          </w:r>
          <w:r>
            <w:rPr>
              <w:rFonts w:hint="eastAsia" w:ascii="宋体" w:hAnsi="宋体" w:eastAsia="宋体" w:cs="宋体"/>
              <w:szCs w:val="28"/>
              <w:lang w:val="en-US" w:eastAsia="zh-CN"/>
            </w:rPr>
            <w:t>全局交易设置</w:t>
          </w:r>
          <w:r>
            <w:tab/>
          </w:r>
          <w:r>
            <w:fldChar w:fldCharType="begin"/>
          </w:r>
          <w:r>
            <w:instrText xml:space="preserve"> PAGEREF _Toc2560 \h </w:instrText>
          </w:r>
          <w:r>
            <w:fldChar w:fldCharType="separate"/>
          </w:r>
          <w:r>
            <w:t>69</w:t>
          </w:r>
          <w:r>
            <w:fldChar w:fldCharType="end"/>
          </w:r>
          <w:r>
            <w:rPr>
              <w:rFonts w:hint="eastAsia" w:ascii="宋体" w:hAnsi="宋体" w:eastAsia="宋体" w:cs="宋体"/>
              <w:kern w:val="2"/>
              <w:szCs w:val="24"/>
              <w:lang w:val="en-US" w:eastAsia="zh-CN" w:bidi="ar-SA"/>
            </w:rPr>
            <w:fldChar w:fldCharType="end"/>
          </w:r>
        </w:p>
        <w:p w14:paraId="48C607A8">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_Toc4671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10.1.2. </w:t>
          </w:r>
          <w:r>
            <w:rPr>
              <w:rFonts w:hint="eastAsia" w:ascii="宋体" w:hAnsi="宋体" w:eastAsia="宋体" w:cs="宋体"/>
              <w:szCs w:val="28"/>
              <w:lang w:val="en-US" w:eastAsia="zh-CN"/>
            </w:rPr>
            <w:t>基础交易设置</w:t>
          </w:r>
          <w:r>
            <w:tab/>
          </w:r>
          <w:r>
            <w:fldChar w:fldCharType="begin"/>
          </w:r>
          <w:r>
            <w:instrText xml:space="preserve"> PAGEREF _Toc4671 \h </w:instrText>
          </w:r>
          <w:r>
            <w:fldChar w:fldCharType="separate"/>
          </w:r>
          <w:r>
            <w:t>70</w:t>
          </w:r>
          <w:r>
            <w:fldChar w:fldCharType="end"/>
          </w:r>
          <w:r>
            <w:rPr>
              <w:rFonts w:hint="eastAsia" w:ascii="宋体" w:hAnsi="宋体" w:eastAsia="宋体" w:cs="宋体"/>
              <w:kern w:val="2"/>
              <w:szCs w:val="24"/>
              <w:lang w:val="en-US" w:eastAsia="zh-CN" w:bidi="ar-SA"/>
            </w:rPr>
            <w:fldChar w:fldCharType="end"/>
          </w:r>
        </w:p>
        <w:p w14:paraId="3DF07AF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_Toc6237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10.1.3. </w:t>
          </w:r>
          <w:r>
            <w:rPr>
              <w:rFonts w:hint="eastAsia" w:ascii="宋体" w:hAnsi="宋体" w:eastAsia="宋体" w:cs="宋体"/>
              <w:szCs w:val="28"/>
              <w:lang w:val="en-US" w:eastAsia="zh-CN"/>
            </w:rPr>
            <w:t>指令交易设置</w:t>
          </w:r>
          <w:r>
            <w:tab/>
          </w:r>
          <w:r>
            <w:fldChar w:fldCharType="begin"/>
          </w:r>
          <w:r>
            <w:instrText xml:space="preserve"> PAGEREF _Toc6237 \h </w:instrText>
          </w:r>
          <w:r>
            <w:fldChar w:fldCharType="separate"/>
          </w:r>
          <w:r>
            <w:t>71</w:t>
          </w:r>
          <w:r>
            <w:fldChar w:fldCharType="end"/>
          </w:r>
          <w:r>
            <w:rPr>
              <w:rFonts w:hint="eastAsia" w:ascii="宋体" w:hAnsi="宋体" w:eastAsia="宋体" w:cs="宋体"/>
              <w:kern w:val="2"/>
              <w:szCs w:val="24"/>
              <w:lang w:val="en-US" w:eastAsia="zh-CN" w:bidi="ar-SA"/>
            </w:rPr>
            <w:fldChar w:fldCharType="end"/>
          </w:r>
        </w:p>
        <w:p w14:paraId="3CAC19B9">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_Toc20573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10.1.4. </w:t>
          </w:r>
          <w:r>
            <w:rPr>
              <w:rFonts w:hint="eastAsia" w:ascii="宋体" w:hAnsi="宋体" w:eastAsia="宋体" w:cs="宋体"/>
              <w:szCs w:val="28"/>
              <w:lang w:val="en-US" w:eastAsia="zh-CN"/>
            </w:rPr>
            <w:t>期货交易设置</w:t>
          </w:r>
          <w:r>
            <w:tab/>
          </w:r>
          <w:r>
            <w:fldChar w:fldCharType="begin"/>
          </w:r>
          <w:r>
            <w:instrText xml:space="preserve"> PAGEREF _Toc20573 \h </w:instrText>
          </w:r>
          <w:r>
            <w:fldChar w:fldCharType="separate"/>
          </w:r>
          <w:r>
            <w:t>71</w:t>
          </w:r>
          <w:r>
            <w:fldChar w:fldCharType="end"/>
          </w:r>
          <w:r>
            <w:rPr>
              <w:rFonts w:hint="eastAsia" w:ascii="宋体" w:hAnsi="宋体" w:eastAsia="宋体" w:cs="宋体"/>
              <w:kern w:val="2"/>
              <w:szCs w:val="24"/>
              <w:lang w:val="en-US" w:eastAsia="zh-CN" w:bidi="ar-SA"/>
            </w:rPr>
            <w:fldChar w:fldCharType="end"/>
          </w:r>
        </w:p>
        <w:p w14:paraId="4399B479">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_Toc5251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10.1.5. </w:t>
          </w:r>
          <w:r>
            <w:rPr>
              <w:rFonts w:hint="eastAsia" w:ascii="宋体" w:hAnsi="宋体" w:eastAsia="宋体" w:cs="宋体"/>
              <w:szCs w:val="28"/>
              <w:lang w:val="en-US" w:eastAsia="zh-CN"/>
            </w:rPr>
            <w:t>价格笼子设置</w:t>
          </w:r>
          <w:r>
            <w:tab/>
          </w:r>
          <w:r>
            <w:fldChar w:fldCharType="begin"/>
          </w:r>
          <w:r>
            <w:instrText xml:space="preserve"> PAGEREF _Toc5251 \h </w:instrText>
          </w:r>
          <w:r>
            <w:fldChar w:fldCharType="separate"/>
          </w:r>
          <w:r>
            <w:t>71</w:t>
          </w:r>
          <w:r>
            <w:fldChar w:fldCharType="end"/>
          </w:r>
          <w:r>
            <w:rPr>
              <w:rFonts w:hint="eastAsia" w:ascii="宋体" w:hAnsi="宋体" w:eastAsia="宋体" w:cs="宋体"/>
              <w:kern w:val="2"/>
              <w:szCs w:val="24"/>
              <w:lang w:val="en-US" w:eastAsia="zh-CN" w:bidi="ar-SA"/>
            </w:rPr>
            <w:fldChar w:fldCharType="end"/>
          </w:r>
        </w:p>
        <w:p w14:paraId="4236AC2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_Toc25107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10.1.6. </w:t>
          </w:r>
          <w:r>
            <w:rPr>
              <w:rFonts w:hint="eastAsia" w:ascii="宋体" w:hAnsi="宋体" w:eastAsia="宋体" w:cs="宋体"/>
              <w:szCs w:val="28"/>
              <w:lang w:val="en-US" w:eastAsia="zh-CN"/>
            </w:rPr>
            <w:t>交易费率设置</w:t>
          </w:r>
          <w:r>
            <w:tab/>
          </w:r>
          <w:r>
            <w:fldChar w:fldCharType="begin"/>
          </w:r>
          <w:r>
            <w:instrText xml:space="preserve"> PAGEREF _Toc25107 \h </w:instrText>
          </w:r>
          <w:r>
            <w:fldChar w:fldCharType="separate"/>
          </w:r>
          <w:r>
            <w:t>72</w:t>
          </w:r>
          <w:r>
            <w:fldChar w:fldCharType="end"/>
          </w:r>
          <w:r>
            <w:rPr>
              <w:rFonts w:hint="eastAsia" w:ascii="宋体" w:hAnsi="宋体" w:eastAsia="宋体" w:cs="宋体"/>
              <w:kern w:val="2"/>
              <w:szCs w:val="24"/>
              <w:lang w:val="en-US" w:eastAsia="zh-CN" w:bidi="ar-SA"/>
            </w:rPr>
            <w:fldChar w:fldCharType="end"/>
          </w:r>
        </w:p>
        <w:p w14:paraId="67FAEE9B">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_Toc20495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10.1.7. </w:t>
          </w:r>
          <w:r>
            <w:rPr>
              <w:rFonts w:hint="eastAsia" w:ascii="宋体" w:hAnsi="宋体" w:eastAsia="宋体" w:cs="宋体"/>
              <w:szCs w:val="28"/>
              <w:lang w:val="en-US" w:eastAsia="zh-CN"/>
            </w:rPr>
            <w:t>期权交易设置</w:t>
          </w:r>
          <w:r>
            <w:tab/>
          </w:r>
          <w:r>
            <w:fldChar w:fldCharType="begin"/>
          </w:r>
          <w:r>
            <w:instrText xml:space="preserve"> PAGEREF _Toc20495 \h </w:instrText>
          </w:r>
          <w:r>
            <w:fldChar w:fldCharType="separate"/>
          </w:r>
          <w:r>
            <w:t>72</w:t>
          </w:r>
          <w:r>
            <w:fldChar w:fldCharType="end"/>
          </w:r>
          <w:r>
            <w:rPr>
              <w:rFonts w:hint="eastAsia" w:ascii="宋体" w:hAnsi="宋体" w:eastAsia="宋体" w:cs="宋体"/>
              <w:kern w:val="2"/>
              <w:szCs w:val="24"/>
              <w:lang w:val="en-US" w:eastAsia="zh-CN" w:bidi="ar-SA"/>
            </w:rPr>
            <w:fldChar w:fldCharType="end"/>
          </w:r>
        </w:p>
        <w:p w14:paraId="3DF74719">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_Toc21511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10.1.8. </w:t>
          </w:r>
          <w:r>
            <w:rPr>
              <w:rFonts w:hint="eastAsia" w:ascii="宋体" w:hAnsi="宋体" w:eastAsia="宋体" w:cs="宋体"/>
              <w:szCs w:val="28"/>
              <w:lang w:val="en-US" w:eastAsia="zh-CN"/>
            </w:rPr>
            <w:t>期货期权交易设置</w:t>
          </w:r>
          <w:r>
            <w:tab/>
          </w:r>
          <w:r>
            <w:fldChar w:fldCharType="begin"/>
          </w:r>
          <w:r>
            <w:instrText xml:space="preserve"> PAGEREF _Toc21511 \h </w:instrText>
          </w:r>
          <w:r>
            <w:fldChar w:fldCharType="separate"/>
          </w:r>
          <w:r>
            <w:t>73</w:t>
          </w:r>
          <w:r>
            <w:fldChar w:fldCharType="end"/>
          </w:r>
          <w:r>
            <w:rPr>
              <w:rFonts w:hint="eastAsia" w:ascii="宋体" w:hAnsi="宋体" w:eastAsia="宋体" w:cs="宋体"/>
              <w:kern w:val="2"/>
              <w:szCs w:val="24"/>
              <w:lang w:val="en-US" w:eastAsia="zh-CN" w:bidi="ar-SA"/>
            </w:rPr>
            <w:fldChar w:fldCharType="end"/>
          </w:r>
        </w:p>
        <w:p w14:paraId="7F1C20D3">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_Toc10375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10.1.9. </w:t>
          </w:r>
          <w:r>
            <w:rPr>
              <w:rFonts w:hint="eastAsia" w:ascii="宋体" w:hAnsi="宋体" w:eastAsia="宋体" w:cs="宋体"/>
              <w:szCs w:val="28"/>
              <w:lang w:val="en-US" w:eastAsia="zh-CN"/>
            </w:rPr>
            <w:t>组合交易设置</w:t>
          </w:r>
          <w:r>
            <w:tab/>
          </w:r>
          <w:r>
            <w:fldChar w:fldCharType="begin"/>
          </w:r>
          <w:r>
            <w:instrText xml:space="preserve"> PAGEREF _Toc10375 \h </w:instrText>
          </w:r>
          <w:r>
            <w:fldChar w:fldCharType="separate"/>
          </w:r>
          <w:r>
            <w:t>74</w:t>
          </w:r>
          <w:r>
            <w:fldChar w:fldCharType="end"/>
          </w:r>
          <w:r>
            <w:rPr>
              <w:rFonts w:hint="eastAsia" w:ascii="宋体" w:hAnsi="宋体" w:eastAsia="宋体" w:cs="宋体"/>
              <w:kern w:val="2"/>
              <w:szCs w:val="24"/>
              <w:lang w:val="en-US" w:eastAsia="zh-CN" w:bidi="ar-SA"/>
            </w:rPr>
            <w:fldChar w:fldCharType="end"/>
          </w:r>
        </w:p>
        <w:p w14:paraId="4DA374FC">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_Toc27450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10.2. </w:t>
          </w:r>
          <w:r>
            <w:rPr>
              <w:rFonts w:hint="eastAsia" w:ascii="宋体" w:hAnsi="宋体" w:eastAsia="宋体" w:cs="宋体"/>
              <w:szCs w:val="28"/>
              <w:lang w:val="en-US" w:eastAsia="zh-CN"/>
            </w:rPr>
            <w:t>账号设置</w:t>
          </w:r>
          <w:r>
            <w:tab/>
          </w:r>
          <w:r>
            <w:fldChar w:fldCharType="begin"/>
          </w:r>
          <w:r>
            <w:instrText xml:space="preserve"> PAGEREF _Toc27450 \h </w:instrText>
          </w:r>
          <w:r>
            <w:fldChar w:fldCharType="separate"/>
          </w:r>
          <w:r>
            <w:t>74</w:t>
          </w:r>
          <w:r>
            <w:fldChar w:fldCharType="end"/>
          </w:r>
          <w:r>
            <w:rPr>
              <w:rFonts w:hint="eastAsia" w:ascii="宋体" w:hAnsi="宋体" w:eastAsia="宋体" w:cs="宋体"/>
              <w:kern w:val="2"/>
              <w:szCs w:val="24"/>
              <w:lang w:val="en-US" w:eastAsia="zh-CN" w:bidi="ar-SA"/>
            </w:rPr>
            <w:fldChar w:fldCharType="end"/>
          </w:r>
        </w:p>
        <w:p w14:paraId="6BCD75B2">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_Toc32313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10.2.1. </w:t>
          </w:r>
          <w:r>
            <w:rPr>
              <w:rFonts w:hint="eastAsia" w:ascii="宋体" w:hAnsi="宋体" w:eastAsia="宋体" w:cs="宋体"/>
              <w:szCs w:val="28"/>
              <w:lang w:val="en-US" w:eastAsia="zh-CN"/>
            </w:rPr>
            <w:t>账号简称设置</w:t>
          </w:r>
          <w:r>
            <w:tab/>
          </w:r>
          <w:r>
            <w:fldChar w:fldCharType="begin"/>
          </w:r>
          <w:r>
            <w:instrText xml:space="preserve"> PAGEREF _Toc32313 \h </w:instrText>
          </w:r>
          <w:r>
            <w:fldChar w:fldCharType="separate"/>
          </w:r>
          <w:r>
            <w:t>74</w:t>
          </w:r>
          <w:r>
            <w:fldChar w:fldCharType="end"/>
          </w:r>
          <w:r>
            <w:rPr>
              <w:rFonts w:hint="eastAsia" w:ascii="宋体" w:hAnsi="宋体" w:eastAsia="宋体" w:cs="宋体"/>
              <w:kern w:val="2"/>
              <w:szCs w:val="24"/>
              <w:lang w:val="en-US" w:eastAsia="zh-CN" w:bidi="ar-SA"/>
            </w:rPr>
            <w:fldChar w:fldCharType="end"/>
          </w:r>
        </w:p>
        <w:p w14:paraId="27379C54">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_Toc8424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10.2.2. </w:t>
          </w:r>
          <w:r>
            <w:rPr>
              <w:rFonts w:hint="eastAsia" w:ascii="宋体" w:hAnsi="宋体" w:eastAsia="宋体" w:cs="宋体"/>
              <w:szCs w:val="28"/>
              <w:lang w:val="en-US" w:eastAsia="zh-CN"/>
            </w:rPr>
            <w:t>账号优先级设置</w:t>
          </w:r>
          <w:r>
            <w:tab/>
          </w:r>
          <w:r>
            <w:fldChar w:fldCharType="begin"/>
          </w:r>
          <w:r>
            <w:instrText xml:space="preserve"> PAGEREF _Toc8424 \h </w:instrText>
          </w:r>
          <w:r>
            <w:fldChar w:fldCharType="separate"/>
          </w:r>
          <w:r>
            <w:t>75</w:t>
          </w:r>
          <w:r>
            <w:fldChar w:fldCharType="end"/>
          </w:r>
          <w:r>
            <w:rPr>
              <w:rFonts w:hint="eastAsia" w:ascii="宋体" w:hAnsi="宋体" w:eastAsia="宋体" w:cs="宋体"/>
              <w:kern w:val="2"/>
              <w:szCs w:val="24"/>
              <w:lang w:val="en-US" w:eastAsia="zh-CN" w:bidi="ar-SA"/>
            </w:rPr>
            <w:fldChar w:fldCharType="end"/>
          </w:r>
        </w:p>
        <w:p w14:paraId="7D732446">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_Toc7940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10.3. </w:t>
          </w:r>
          <w:r>
            <w:rPr>
              <w:rFonts w:hint="eastAsia" w:ascii="宋体" w:hAnsi="宋体" w:eastAsia="宋体" w:cs="宋体"/>
              <w:szCs w:val="28"/>
              <w:lang w:val="en-US" w:eastAsia="zh-CN"/>
            </w:rPr>
            <w:t>密码设置</w:t>
          </w:r>
          <w:r>
            <w:tab/>
          </w:r>
          <w:r>
            <w:fldChar w:fldCharType="begin"/>
          </w:r>
          <w:r>
            <w:instrText xml:space="preserve"> PAGEREF _Toc7940 \h </w:instrText>
          </w:r>
          <w:r>
            <w:fldChar w:fldCharType="separate"/>
          </w:r>
          <w:r>
            <w:t>75</w:t>
          </w:r>
          <w:r>
            <w:fldChar w:fldCharType="end"/>
          </w:r>
          <w:r>
            <w:rPr>
              <w:rFonts w:hint="eastAsia" w:ascii="宋体" w:hAnsi="宋体" w:eastAsia="宋体" w:cs="宋体"/>
              <w:kern w:val="2"/>
              <w:szCs w:val="24"/>
              <w:lang w:val="en-US" w:eastAsia="zh-CN" w:bidi="ar-SA"/>
            </w:rPr>
            <w:fldChar w:fldCharType="end"/>
          </w:r>
        </w:p>
        <w:p w14:paraId="74A20243">
          <w:pPr>
            <w:pStyle w:val="19"/>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_Toc18081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szCs w:val="28"/>
              <w:lang w:val="en-US" w:eastAsia="zh-CN"/>
            </w:rPr>
            <w:t xml:space="preserve">10.4. </w:t>
          </w:r>
          <w:r>
            <w:rPr>
              <w:rFonts w:hint="eastAsia" w:ascii="宋体" w:hAnsi="宋体" w:eastAsia="宋体" w:cs="宋体"/>
              <w:szCs w:val="28"/>
              <w:lang w:val="en-US" w:eastAsia="zh-CN"/>
            </w:rPr>
            <w:t>客户端设置</w:t>
          </w:r>
          <w:r>
            <w:tab/>
          </w:r>
          <w:r>
            <w:fldChar w:fldCharType="begin"/>
          </w:r>
          <w:r>
            <w:instrText xml:space="preserve"> PAGEREF _Toc18081 \h </w:instrText>
          </w:r>
          <w:r>
            <w:fldChar w:fldCharType="separate"/>
          </w:r>
          <w:r>
            <w:t>76</w:t>
          </w:r>
          <w:r>
            <w:fldChar w:fldCharType="end"/>
          </w:r>
          <w:r>
            <w:rPr>
              <w:rFonts w:hint="eastAsia" w:ascii="宋体" w:hAnsi="宋体" w:eastAsia="宋体" w:cs="宋体"/>
              <w:kern w:val="2"/>
              <w:szCs w:val="24"/>
              <w:lang w:val="en-US" w:eastAsia="zh-CN" w:bidi="ar-SA"/>
            </w:rPr>
            <w:fldChar w:fldCharType="end"/>
          </w:r>
        </w:p>
        <w:p w14:paraId="79645CAE">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_Toc11432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10.4.1. </w:t>
          </w:r>
          <w:r>
            <w:rPr>
              <w:rFonts w:hint="eastAsia" w:ascii="宋体" w:hAnsi="宋体" w:eastAsia="宋体" w:cs="宋体"/>
              <w:szCs w:val="28"/>
              <w:lang w:val="en-US" w:eastAsia="zh-CN"/>
            </w:rPr>
            <w:t>通用设置</w:t>
          </w:r>
          <w:r>
            <w:tab/>
          </w:r>
          <w:r>
            <w:fldChar w:fldCharType="begin"/>
          </w:r>
          <w:r>
            <w:instrText xml:space="preserve"> PAGEREF _Toc11432 \h </w:instrText>
          </w:r>
          <w:r>
            <w:fldChar w:fldCharType="separate"/>
          </w:r>
          <w:r>
            <w:t>76</w:t>
          </w:r>
          <w:r>
            <w:fldChar w:fldCharType="end"/>
          </w:r>
          <w:r>
            <w:rPr>
              <w:rFonts w:hint="eastAsia" w:ascii="宋体" w:hAnsi="宋体" w:eastAsia="宋体" w:cs="宋体"/>
              <w:kern w:val="2"/>
              <w:szCs w:val="24"/>
              <w:lang w:val="en-US" w:eastAsia="zh-CN" w:bidi="ar-SA"/>
            </w:rPr>
            <w:fldChar w:fldCharType="end"/>
          </w:r>
        </w:p>
        <w:p w14:paraId="51BCD76F">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_Toc23531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10.4.2. </w:t>
          </w:r>
          <w:r>
            <w:rPr>
              <w:rFonts w:hint="eastAsia" w:ascii="宋体" w:hAnsi="宋体" w:eastAsia="宋体" w:cs="宋体"/>
              <w:szCs w:val="28"/>
              <w:lang w:val="en-US" w:eastAsia="zh-CN"/>
            </w:rPr>
            <w:t>修改密码</w:t>
          </w:r>
          <w:r>
            <w:tab/>
          </w:r>
          <w:r>
            <w:fldChar w:fldCharType="begin"/>
          </w:r>
          <w:r>
            <w:instrText xml:space="preserve"> PAGEREF _Toc23531 \h </w:instrText>
          </w:r>
          <w:r>
            <w:fldChar w:fldCharType="separate"/>
          </w:r>
          <w:r>
            <w:t>76</w:t>
          </w:r>
          <w:r>
            <w:fldChar w:fldCharType="end"/>
          </w:r>
          <w:r>
            <w:rPr>
              <w:rFonts w:hint="eastAsia" w:ascii="宋体" w:hAnsi="宋体" w:eastAsia="宋体" w:cs="宋体"/>
              <w:kern w:val="2"/>
              <w:szCs w:val="24"/>
              <w:lang w:val="en-US" w:eastAsia="zh-CN" w:bidi="ar-SA"/>
            </w:rPr>
            <w:fldChar w:fldCharType="end"/>
          </w:r>
        </w:p>
        <w:p w14:paraId="7FF0ACDC">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_Toc585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10.4.3. </w:t>
          </w:r>
          <w:r>
            <w:rPr>
              <w:rFonts w:hint="eastAsia" w:ascii="宋体" w:hAnsi="宋体" w:eastAsia="宋体" w:cs="宋体"/>
              <w:szCs w:val="28"/>
              <w:lang w:val="en-US" w:eastAsia="zh-CN"/>
            </w:rPr>
            <w:t>监控剪贴板</w:t>
          </w:r>
          <w:r>
            <w:tab/>
          </w:r>
          <w:r>
            <w:fldChar w:fldCharType="begin"/>
          </w:r>
          <w:r>
            <w:instrText xml:space="preserve"> PAGEREF _Toc585 \h </w:instrText>
          </w:r>
          <w:r>
            <w:fldChar w:fldCharType="separate"/>
          </w:r>
          <w:r>
            <w:t>77</w:t>
          </w:r>
          <w:r>
            <w:fldChar w:fldCharType="end"/>
          </w:r>
          <w:r>
            <w:rPr>
              <w:rFonts w:hint="eastAsia" w:ascii="宋体" w:hAnsi="宋体" w:eastAsia="宋体" w:cs="宋体"/>
              <w:kern w:val="2"/>
              <w:szCs w:val="24"/>
              <w:lang w:val="en-US" w:eastAsia="zh-CN" w:bidi="ar-SA"/>
            </w:rPr>
            <w:fldChar w:fldCharType="end"/>
          </w:r>
        </w:p>
        <w:p w14:paraId="6BB88240">
          <w:pPr>
            <w:pStyle w:val="12"/>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_Toc10796 </w:instrText>
          </w:r>
          <w:r>
            <w:rPr>
              <w:rFonts w:hint="eastAsia" w:ascii="宋体" w:hAnsi="宋体" w:eastAsia="宋体" w:cs="宋体"/>
              <w:kern w:val="2"/>
              <w:szCs w:val="24"/>
              <w:lang w:val="en-US" w:eastAsia="zh-CN" w:bidi="ar-SA"/>
            </w:rPr>
            <w:fldChar w:fldCharType="separate"/>
          </w:r>
          <w:r>
            <w:rPr>
              <w:rFonts w:hint="default" w:ascii="宋体" w:hAnsi="宋体" w:eastAsia="宋体" w:cstheme="minorEastAsia"/>
              <w:szCs w:val="24"/>
              <w:lang w:val="en-US" w:eastAsia="zh-CN"/>
            </w:rPr>
            <w:t xml:space="preserve">10.4.4. </w:t>
          </w:r>
          <w:r>
            <w:rPr>
              <w:rFonts w:hint="eastAsia" w:ascii="宋体" w:hAnsi="宋体" w:eastAsia="宋体" w:cs="宋体"/>
              <w:szCs w:val="28"/>
              <w:lang w:val="en-US" w:eastAsia="zh-CN"/>
            </w:rPr>
            <w:t>系统公告</w:t>
          </w:r>
          <w:r>
            <w:tab/>
          </w:r>
          <w:r>
            <w:fldChar w:fldCharType="begin"/>
          </w:r>
          <w:r>
            <w:instrText xml:space="preserve"> PAGEREF _Toc10796 \h </w:instrText>
          </w:r>
          <w:r>
            <w:fldChar w:fldCharType="separate"/>
          </w:r>
          <w:r>
            <w:t>77</w:t>
          </w:r>
          <w:r>
            <w:fldChar w:fldCharType="end"/>
          </w:r>
          <w:r>
            <w:rPr>
              <w:rFonts w:hint="eastAsia" w:ascii="宋体" w:hAnsi="宋体" w:eastAsia="宋体" w:cs="宋体"/>
              <w:kern w:val="2"/>
              <w:szCs w:val="24"/>
              <w:lang w:val="en-US" w:eastAsia="zh-CN" w:bidi="ar-SA"/>
            </w:rPr>
            <w:fldChar w:fldCharType="end"/>
          </w:r>
        </w:p>
        <w:p w14:paraId="69493737">
          <w:pPr>
            <w:pStyle w:val="16"/>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_Toc31555 </w:instrText>
          </w:r>
          <w:r>
            <w:rPr>
              <w:rFonts w:hint="eastAsia" w:ascii="宋体" w:hAnsi="宋体" w:eastAsia="宋体" w:cs="宋体"/>
              <w:kern w:val="2"/>
              <w:szCs w:val="24"/>
              <w:lang w:val="en-US" w:eastAsia="zh-CN" w:bidi="ar-SA"/>
            </w:rPr>
            <w:fldChar w:fldCharType="separate"/>
          </w:r>
          <w:r>
            <w:rPr>
              <w:rFonts w:hint="default" w:ascii="宋体" w:hAnsi="宋体" w:eastAsia="宋体" w:cs="宋体"/>
              <w:bCs w:val="0"/>
              <w:szCs w:val="30"/>
              <w:lang w:val="en-US" w:eastAsia="zh-CN"/>
            </w:rPr>
            <w:t xml:space="preserve">11. </w:t>
          </w:r>
          <w:r>
            <w:rPr>
              <w:rFonts w:hint="eastAsia" w:ascii="宋体" w:hAnsi="宋体" w:eastAsia="宋体" w:cs="宋体"/>
              <w:bCs w:val="0"/>
              <w:szCs w:val="30"/>
              <w:lang w:val="en-US" w:eastAsia="zh-CN"/>
            </w:rPr>
            <w:t>下载中心</w:t>
          </w:r>
          <w:r>
            <w:tab/>
          </w:r>
          <w:r>
            <w:fldChar w:fldCharType="begin"/>
          </w:r>
          <w:r>
            <w:instrText xml:space="preserve"> PAGEREF _Toc31555 \h </w:instrText>
          </w:r>
          <w:r>
            <w:fldChar w:fldCharType="separate"/>
          </w:r>
          <w:r>
            <w:t>78</w:t>
          </w:r>
          <w:r>
            <w:fldChar w:fldCharType="end"/>
          </w:r>
          <w:r>
            <w:rPr>
              <w:rFonts w:hint="eastAsia" w:ascii="宋体" w:hAnsi="宋体" w:eastAsia="宋体" w:cs="宋体"/>
              <w:kern w:val="2"/>
              <w:szCs w:val="24"/>
              <w:lang w:val="en-US" w:eastAsia="zh-CN" w:bidi="ar-SA"/>
            </w:rPr>
            <w:fldChar w:fldCharType="end"/>
          </w:r>
        </w:p>
        <w:p w14:paraId="60ED27CF">
          <w:pPr>
            <w:rPr>
              <w:rFonts w:hint="eastAsia" w:ascii="宋体" w:hAnsi="宋体" w:eastAsia="宋体" w:cs="宋体"/>
              <w:kern w:val="2"/>
              <w:sz w:val="24"/>
              <w:szCs w:val="24"/>
              <w:lang w:val="en-US" w:eastAsia="zh-CN" w:bidi="ar-SA"/>
            </w:rPr>
          </w:pPr>
          <w:r>
            <w:rPr>
              <w:rFonts w:hint="eastAsia" w:ascii="宋体" w:hAnsi="宋体" w:eastAsia="宋体" w:cs="宋体"/>
              <w:kern w:val="2"/>
              <w:szCs w:val="24"/>
              <w:lang w:val="en-US" w:eastAsia="zh-CN" w:bidi="ar-SA"/>
            </w:rPr>
            <w:fldChar w:fldCharType="end"/>
          </w:r>
        </w:p>
      </w:sdtContent>
    </w:sdt>
    <w:p w14:paraId="6DFF73E1">
      <w:pPr>
        <w:pStyle w:val="2"/>
        <w:keepNext/>
        <w:keepLines/>
        <w:pageBreakBefore w:val="0"/>
        <w:widowControl w:val="0"/>
        <w:numPr>
          <w:ilvl w:val="0"/>
          <w:numId w:val="1"/>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24"/>
          <w:szCs w:val="24"/>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10514"/>
      <w:bookmarkStart w:id="1" w:name="_Toc32726"/>
    </w:p>
    <w:p w14:paraId="45A869D9">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2" w:name="_Toc21881"/>
      <w:r>
        <w:rPr>
          <w:rFonts w:hint="eastAsia" w:ascii="宋体" w:hAnsi="宋体" w:eastAsia="宋体" w:cs="宋体"/>
          <w:sz w:val="30"/>
          <w:szCs w:val="30"/>
          <w:lang w:val="en-US" w:eastAsia="zh-CN"/>
        </w:rPr>
        <w:t>下载</w:t>
      </w:r>
      <w:bookmarkEnd w:id="2"/>
    </w:p>
    <w:p w14:paraId="0FEAA8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在浏览器中打开：</w:t>
      </w:r>
    </w:p>
    <w:p w14:paraId="4B64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"https://www.htfc.com/main/wsyyt/rjxz/matic/index.shtml?id=12892" </w:instrText>
      </w:r>
      <w:r>
        <w:rPr>
          <w:rFonts w:hint="eastAsia" w:ascii="宋体" w:hAnsi="宋体" w:eastAsia="宋体" w:cs="宋体"/>
          <w:lang w:val="en-US" w:eastAsia="zh-CN"/>
        </w:rPr>
        <w:fldChar w:fldCharType="separate"/>
      </w:r>
      <w:r>
        <w:rPr>
          <w:rStyle w:val="24"/>
          <w:rFonts w:hint="eastAsia" w:ascii="宋体" w:hAnsi="宋体" w:eastAsia="宋体" w:cs="宋体"/>
          <w:lang w:val="en-US" w:eastAsia="zh-CN"/>
        </w:rPr>
        <w:t>https://www.htfc.com/main/wsyyt/rjxz/matic/index.shtml?id=12892</w:t>
      </w:r>
      <w:r>
        <w:rPr>
          <w:rFonts w:hint="eastAsia" w:ascii="宋体" w:hAnsi="宋体" w:eastAsia="宋体" w:cs="宋体"/>
          <w:lang w:val="en-US" w:eastAsia="zh-CN"/>
        </w:rPr>
        <w:fldChar w:fldCharType="end"/>
      </w:r>
    </w:p>
    <w:p w14:paraId="5DFE1D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696845"/>
            <wp:effectExtent l="0" t="0" r="1016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66690" cy="2696845"/>
                    </a:xfrm>
                    <a:prstGeom prst="rect">
                      <a:avLst/>
                    </a:prstGeom>
                    <a:noFill/>
                    <a:ln>
                      <a:noFill/>
                    </a:ln>
                  </pic:spPr>
                </pic:pic>
              </a:graphicData>
            </a:graphic>
          </wp:inline>
        </w:drawing>
      </w:r>
    </w:p>
    <w:p w14:paraId="57BC8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点击软件下载，下载完成后，解压缩打开所下载的文件夹，点击“类型”选择“应用程序”，筛选出应用程序。</w:t>
      </w:r>
    </w:p>
    <w:p w14:paraId="2CC8224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9865" cy="3395345"/>
            <wp:effectExtent l="0" t="0" r="698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9865" cy="3395345"/>
                    </a:xfrm>
                    <a:prstGeom prst="rect">
                      <a:avLst/>
                    </a:prstGeom>
                    <a:noFill/>
                    <a:ln>
                      <a:noFill/>
                    </a:ln>
                  </pic:spPr>
                </pic:pic>
              </a:graphicData>
            </a:graphic>
          </wp:inline>
        </w:drawing>
      </w:r>
    </w:p>
    <w:p w14:paraId="65BE3A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双击“matic”程序，弹出提醒框，点击“更多信息”、“仍要运行”，即可打开MATIC客户端。</w:t>
      </w:r>
    </w:p>
    <w:p w14:paraId="0C64082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drawing>
          <wp:inline distT="0" distB="0" distL="114300" distR="114300">
            <wp:extent cx="2615565" cy="1459865"/>
            <wp:effectExtent l="0" t="0" r="1333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2615565" cy="1459865"/>
                    </a:xfrm>
                    <a:prstGeom prst="rect">
                      <a:avLst/>
                    </a:prstGeom>
                    <a:noFill/>
                    <a:ln>
                      <a:noFill/>
                    </a:ln>
                  </pic:spPr>
                </pic:pic>
              </a:graphicData>
            </a:graphic>
          </wp:inline>
        </w:drawing>
      </w:r>
      <w:r>
        <w:drawing>
          <wp:inline distT="0" distB="0" distL="114300" distR="114300">
            <wp:extent cx="2571115" cy="1435735"/>
            <wp:effectExtent l="0" t="0" r="63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2571115" cy="1435735"/>
                    </a:xfrm>
                    <a:prstGeom prst="rect">
                      <a:avLst/>
                    </a:prstGeom>
                    <a:noFill/>
                    <a:ln>
                      <a:noFill/>
                    </a:ln>
                  </pic:spPr>
                </pic:pic>
              </a:graphicData>
            </a:graphic>
          </wp:inline>
        </w:drawing>
      </w:r>
    </w:p>
    <w:p w14:paraId="15346D2F">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3" w:name="_Toc26336"/>
      <w:r>
        <w:rPr>
          <w:rFonts w:hint="eastAsia" w:ascii="宋体" w:hAnsi="宋体" w:eastAsia="宋体" w:cs="宋体"/>
          <w:sz w:val="30"/>
          <w:szCs w:val="30"/>
          <w:lang w:val="en-US" w:eastAsia="zh-CN"/>
        </w:rPr>
        <w:t>注册</w:t>
      </w:r>
      <w:bookmarkEnd w:id="0"/>
      <w:bookmarkEnd w:id="1"/>
      <w:r>
        <w:rPr>
          <w:rFonts w:hint="eastAsia" w:ascii="宋体" w:hAnsi="宋体" w:eastAsia="宋体" w:cs="宋体"/>
          <w:sz w:val="30"/>
          <w:szCs w:val="30"/>
          <w:lang w:val="en-US" w:eastAsia="zh-CN"/>
        </w:rPr>
        <w:t>登录</w:t>
      </w:r>
      <w:bookmarkEnd w:id="3"/>
    </w:p>
    <w:p w14:paraId="43750D8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4" w:name="_Toc17577"/>
      <w:r>
        <w:rPr>
          <w:rFonts w:hint="eastAsia" w:ascii="宋体" w:hAnsi="宋体" w:eastAsia="宋体" w:cs="宋体"/>
          <w:sz w:val="30"/>
          <w:szCs w:val="30"/>
          <w:lang w:val="en-US" w:eastAsia="zh-CN"/>
        </w:rPr>
        <w:t>注册</w:t>
      </w:r>
      <w:bookmarkEnd w:id="4"/>
    </w:p>
    <w:p w14:paraId="3FB563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注册界面主要用于为普通投资者注册MATIC账号。具体操作步骤如下：</w:t>
      </w:r>
    </w:p>
    <w:p w14:paraId="253D6EC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打开MATIC客户端，进入登录界面；</w:t>
      </w:r>
    </w:p>
    <w:p w14:paraId="1241393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点击左下角“注册账号”，弹出注册界面（如下）；</w:t>
      </w:r>
    </w:p>
    <w:p w14:paraId="08EADA0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输入手机号获取并填写验证码，设置密码，勾选同意隐私政策和用户协议，点击注册，即可注册MATIC账户；</w:t>
      </w:r>
    </w:p>
    <w:p w14:paraId="4966FB3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注册完成后的，点击去登录，即可回到登录界面。</w:t>
      </w:r>
    </w:p>
    <w:p w14:paraId="058EB58D">
      <w:pPr>
        <w:jc w:val="center"/>
        <w:rPr>
          <w:rFonts w:hint="eastAsia" w:ascii="宋体" w:hAnsi="宋体" w:eastAsia="宋体" w:cs="宋体"/>
          <w:lang w:val="en-US" w:eastAsia="zh-CN"/>
        </w:rPr>
      </w:pPr>
      <w:r>
        <w:drawing>
          <wp:inline distT="0" distB="0" distL="114300" distR="114300">
            <wp:extent cx="2721610" cy="3721735"/>
            <wp:effectExtent l="0" t="0" r="254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2721610" cy="3721735"/>
                    </a:xfrm>
                    <a:prstGeom prst="rect">
                      <a:avLst/>
                    </a:prstGeom>
                    <a:noFill/>
                    <a:ln>
                      <a:noFill/>
                    </a:ln>
                  </pic:spPr>
                </pic:pic>
              </a:graphicData>
            </a:graphic>
          </wp:inline>
        </w:drawing>
      </w:r>
    </w:p>
    <w:p w14:paraId="51E5C1CF">
      <w:pPr>
        <w:rPr>
          <w:rFonts w:hint="eastAsia" w:ascii="宋体" w:hAnsi="宋体" w:eastAsia="宋体" w:cs="宋体"/>
          <w:lang w:val="en-US" w:eastAsia="zh-CN"/>
        </w:rPr>
      </w:pPr>
    </w:p>
    <w:p w14:paraId="58CBD241">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5" w:name="_Toc29043"/>
      <w:bookmarkStart w:id="6" w:name="_Toc8194"/>
      <w:bookmarkStart w:id="7" w:name="_Toc7938"/>
      <w:r>
        <w:rPr>
          <w:rFonts w:hint="eastAsia" w:ascii="宋体" w:hAnsi="宋体" w:eastAsia="宋体" w:cs="宋体"/>
          <w:sz w:val="30"/>
          <w:szCs w:val="30"/>
          <w:lang w:val="en-US" w:eastAsia="zh-CN"/>
        </w:rPr>
        <w:t>登录</w:t>
      </w:r>
      <w:bookmarkEnd w:id="5"/>
      <w:bookmarkEnd w:id="6"/>
      <w:bookmarkEnd w:id="7"/>
    </w:p>
    <w:p w14:paraId="16360D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登录界面主要用于为已有MATIC账号的投资者输入用户名、密码登录使用系统。具体操作步骤如下：</w:t>
      </w:r>
    </w:p>
    <w:p w14:paraId="34460CE9">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在登录界面输入用户名和密码；</w:t>
      </w:r>
    </w:p>
    <w:p w14:paraId="3E86141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勾选同意隐私政策和用户协议；</w:t>
      </w:r>
    </w:p>
    <w:p w14:paraId="7486E76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点击“登录”按钮，通过密码校验即可登录进入系统。</w:t>
      </w:r>
    </w:p>
    <w:p w14:paraId="579700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267325" cy="2880995"/>
            <wp:effectExtent l="0" t="0" r="952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267325" cy="2880995"/>
                    </a:xfrm>
                    <a:prstGeom prst="rect">
                      <a:avLst/>
                    </a:prstGeom>
                    <a:noFill/>
                    <a:ln>
                      <a:noFill/>
                    </a:ln>
                  </pic:spPr>
                </pic:pic>
              </a:graphicData>
            </a:graphic>
          </wp:inline>
        </w:drawing>
      </w:r>
    </w:p>
    <w:p w14:paraId="543C7C9D">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8" w:name="_Toc30667"/>
      <w:r>
        <w:rPr>
          <w:rFonts w:hint="eastAsia" w:ascii="宋体" w:hAnsi="宋体" w:eastAsia="宋体" w:cs="宋体"/>
          <w:sz w:val="30"/>
          <w:szCs w:val="30"/>
          <w:lang w:val="en-US" w:eastAsia="zh-CN"/>
        </w:rPr>
        <w:t>忘记密码</w:t>
      </w:r>
      <w:bookmarkEnd w:id="8"/>
    </w:p>
    <w:p w14:paraId="71F078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忘记密码界面主要用于为已注册过MATIC账号但忘记该账号密码的普通投资者重置密码。具体操作步骤如下：</w:t>
      </w:r>
    </w:p>
    <w:p w14:paraId="69F8E3F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点击MATIC客户端登录界面右下角“忘记密码”；</w:t>
      </w:r>
    </w:p>
    <w:p w14:paraId="04D89D1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弹出忘记密码界面（如下），输入手机号获取并填写验证码，重置密码（不能和原密码相同），勾选同意隐私政策和用户协议，点击确定，即可修改密码；</w:t>
      </w:r>
    </w:p>
    <w:p w14:paraId="14A180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修改密码完成后的，点击去登录，即可回到登录界面。</w:t>
      </w:r>
    </w:p>
    <w:p w14:paraId="0BB29DF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drawing>
          <wp:inline distT="0" distB="0" distL="114300" distR="114300">
            <wp:extent cx="2649220" cy="3622675"/>
            <wp:effectExtent l="0" t="0" r="17780" b="158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8"/>
                    <a:stretch>
                      <a:fillRect/>
                    </a:stretch>
                  </pic:blipFill>
                  <pic:spPr>
                    <a:xfrm>
                      <a:off x="0" y="0"/>
                      <a:ext cx="2649220" cy="3622675"/>
                    </a:xfrm>
                    <a:prstGeom prst="rect">
                      <a:avLst/>
                    </a:prstGeom>
                    <a:noFill/>
                    <a:ln>
                      <a:noFill/>
                    </a:ln>
                  </pic:spPr>
                </pic:pic>
              </a:graphicData>
            </a:graphic>
          </wp:inline>
        </w:drawing>
      </w:r>
    </w:p>
    <w:p w14:paraId="05558761">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9" w:name="_Toc11555"/>
      <w:bookmarkStart w:id="10" w:name="_Toc6012"/>
      <w:bookmarkStart w:id="11" w:name="_Toc12102"/>
      <w:r>
        <w:rPr>
          <w:rFonts w:hint="eastAsia" w:ascii="宋体" w:hAnsi="宋体" w:eastAsia="宋体" w:cs="宋体"/>
          <w:sz w:val="30"/>
          <w:szCs w:val="30"/>
          <w:lang w:val="en-US" w:eastAsia="zh-CN"/>
        </w:rPr>
        <w:t>首页</w:t>
      </w:r>
      <w:bookmarkEnd w:id="9"/>
    </w:p>
    <w:p w14:paraId="0699F6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首页展示7*24快讯资讯信息，信息实时更新，支持按照品种和特色栏目进行分类筛选。</w:t>
      </w:r>
    </w:p>
    <w:p w14:paraId="51C22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lang w:val="en-US" w:eastAsia="zh-CN"/>
        </w:rPr>
      </w:pPr>
      <w:r>
        <w:drawing>
          <wp:inline distT="0" distB="0" distL="114300" distR="114300">
            <wp:extent cx="5266690" cy="283083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6690" cy="2830830"/>
                    </a:xfrm>
                    <a:prstGeom prst="rect">
                      <a:avLst/>
                    </a:prstGeom>
                    <a:noFill/>
                    <a:ln>
                      <a:noFill/>
                    </a:ln>
                  </pic:spPr>
                </pic:pic>
              </a:graphicData>
            </a:graphic>
          </wp:inline>
        </w:drawing>
      </w:r>
    </w:p>
    <w:bookmarkEnd w:id="10"/>
    <w:bookmarkEnd w:id="11"/>
    <w:p w14:paraId="1A2D2B1D">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12" w:name="_Toc19822"/>
      <w:bookmarkStart w:id="13" w:name="_Toc10351"/>
      <w:bookmarkStart w:id="14" w:name="_Toc32078"/>
      <w:r>
        <w:rPr>
          <w:rFonts w:hint="eastAsia" w:ascii="宋体" w:hAnsi="宋体" w:eastAsia="宋体" w:cs="宋体"/>
          <w:sz w:val="30"/>
          <w:szCs w:val="30"/>
          <w:lang w:val="en-US" w:eastAsia="zh-CN"/>
        </w:rPr>
        <w:t>交易</w:t>
      </w:r>
      <w:bookmarkEnd w:id="12"/>
      <w:bookmarkEnd w:id="13"/>
      <w:bookmarkEnd w:id="14"/>
    </w:p>
    <w:p w14:paraId="3B6825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模块包含基础交易、特色交易、套利交易、指令流程和运营管理五个模块。其中基础交易模块包括普通交易、增强交易、期权交易、期货交易和期货期权交易模块，展示相应的行情信息、账户资产列表、持仓列表、委托列表和成交列表等信息。</w:t>
      </w:r>
    </w:p>
    <w:p w14:paraId="6279E990">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30"/>
          <w:szCs w:val="30"/>
          <w:lang w:val="en-US" w:eastAsia="zh-CN"/>
        </w:rPr>
      </w:pPr>
      <w:bookmarkStart w:id="15" w:name="_Toc5438"/>
      <w:r>
        <w:rPr>
          <w:rFonts w:hint="eastAsia" w:ascii="宋体" w:hAnsi="宋体" w:eastAsia="宋体" w:cs="宋体"/>
          <w:sz w:val="30"/>
          <w:szCs w:val="30"/>
          <w:lang w:val="en-US" w:eastAsia="zh-CN"/>
        </w:rPr>
        <w:t>基础交易</w:t>
      </w:r>
      <w:bookmarkEnd w:id="15"/>
    </w:p>
    <w:p w14:paraId="3D6195E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6" w:name="_Toc24747"/>
      <w:r>
        <w:rPr>
          <w:rFonts w:hint="eastAsia" w:ascii="宋体" w:hAnsi="宋体" w:eastAsia="宋体" w:cs="宋体"/>
          <w:sz w:val="28"/>
          <w:szCs w:val="28"/>
          <w:lang w:val="en-US" w:eastAsia="zh-CN"/>
        </w:rPr>
        <w:t>普通交易</w:t>
      </w:r>
      <w:bookmarkEnd w:id="16"/>
    </w:p>
    <w:p w14:paraId="6B481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普通交易模块提供ETF基础交易功能，支持上交所、深交所上市的9只ETF标的的交易，具体包括：</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4301"/>
        <w:gridCol w:w="2841"/>
      </w:tblGrid>
      <w:tr w14:paraId="62D0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5EA86E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交易所</w:t>
            </w:r>
          </w:p>
        </w:tc>
        <w:tc>
          <w:tcPr>
            <w:tcW w:w="4301" w:type="dxa"/>
            <w:vAlign w:val="center"/>
          </w:tcPr>
          <w:p w14:paraId="550733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lang w:val="en-US" w:eastAsia="zh-CN"/>
              </w:rPr>
              <w:t>标的名称</w:t>
            </w:r>
          </w:p>
        </w:tc>
        <w:tc>
          <w:tcPr>
            <w:tcW w:w="2841" w:type="dxa"/>
            <w:vAlign w:val="center"/>
          </w:tcPr>
          <w:p w14:paraId="29DE0C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标的证券代码</w:t>
            </w:r>
          </w:p>
        </w:tc>
      </w:tr>
      <w:tr w14:paraId="354A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14:paraId="29B4B2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上交所</w:t>
            </w:r>
          </w:p>
        </w:tc>
        <w:tc>
          <w:tcPr>
            <w:tcW w:w="4301" w:type="dxa"/>
            <w:vAlign w:val="center"/>
          </w:tcPr>
          <w:p w14:paraId="3BBA62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华夏上证50ETE</w:t>
            </w:r>
          </w:p>
        </w:tc>
        <w:tc>
          <w:tcPr>
            <w:tcW w:w="2841" w:type="dxa"/>
            <w:vAlign w:val="center"/>
          </w:tcPr>
          <w:p w14:paraId="364D5B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510050  50ETF</w:t>
            </w:r>
          </w:p>
        </w:tc>
      </w:tr>
      <w:tr w14:paraId="375D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ADCB2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3C0E0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华泰柏瑞沪深300ETE</w:t>
            </w:r>
          </w:p>
        </w:tc>
        <w:tc>
          <w:tcPr>
            <w:tcW w:w="2841" w:type="dxa"/>
            <w:vAlign w:val="center"/>
          </w:tcPr>
          <w:p w14:paraId="27C8B2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510300  300ETF</w:t>
            </w:r>
          </w:p>
        </w:tc>
      </w:tr>
      <w:tr w14:paraId="41B6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126743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522AE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南方中证500ETE</w:t>
            </w:r>
          </w:p>
        </w:tc>
        <w:tc>
          <w:tcPr>
            <w:tcW w:w="2841" w:type="dxa"/>
            <w:vAlign w:val="center"/>
          </w:tcPr>
          <w:p w14:paraId="1F5E9F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510500  500ETF</w:t>
            </w:r>
          </w:p>
        </w:tc>
      </w:tr>
      <w:tr w14:paraId="7B75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049F0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8309C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华夏上证科创板50ETF</w:t>
            </w:r>
          </w:p>
        </w:tc>
        <w:tc>
          <w:tcPr>
            <w:tcW w:w="2841" w:type="dxa"/>
            <w:vAlign w:val="center"/>
          </w:tcPr>
          <w:p w14:paraId="278381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588000  科创50</w:t>
            </w:r>
          </w:p>
        </w:tc>
      </w:tr>
      <w:tr w14:paraId="754B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15EE86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5FEE13F2">
            <w:pPr>
              <w:keepNext w:val="0"/>
              <w:keepLines w:val="0"/>
              <w:pageBreakBefore w:val="0"/>
              <w:widowControl w:val="0"/>
              <w:numPr>
                <w:ilvl w:val="0"/>
                <w:numId w:val="0"/>
              </w:numPr>
              <w:tabs>
                <w:tab w:val="center" w:pos="2102"/>
                <w:tab w:val="right" w:pos="4085"/>
              </w:tabs>
              <w:kinsoku/>
              <w:wordWrap/>
              <w:overflowPunct/>
              <w:topLinePunct w:val="0"/>
              <w:autoSpaceDE/>
              <w:autoSpaceDN/>
              <w:bidi w:val="0"/>
              <w:adjustRightInd/>
              <w:snapToGrid/>
              <w:spacing w:line="24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ab/>
            </w:r>
            <w:r>
              <w:rPr>
                <w:rFonts w:hint="eastAsia" w:ascii="宋体" w:hAnsi="宋体" w:eastAsia="宋体" w:cs="宋体"/>
                <w:highlight w:val="none"/>
                <w:vertAlign w:val="baseline"/>
                <w:lang w:val="en-US" w:eastAsia="zh-CN"/>
              </w:rPr>
              <w:t>易方达上证科创板50ETE</w:t>
            </w:r>
          </w:p>
        </w:tc>
        <w:tc>
          <w:tcPr>
            <w:tcW w:w="2841" w:type="dxa"/>
            <w:vAlign w:val="center"/>
          </w:tcPr>
          <w:p w14:paraId="7DBD85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588080  科创板50</w:t>
            </w:r>
          </w:p>
        </w:tc>
      </w:tr>
      <w:tr w14:paraId="465D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0" w:type="dxa"/>
            <w:vMerge w:val="restart"/>
            <w:vAlign w:val="center"/>
          </w:tcPr>
          <w:p w14:paraId="745883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深交所</w:t>
            </w:r>
          </w:p>
        </w:tc>
        <w:tc>
          <w:tcPr>
            <w:tcW w:w="4301" w:type="dxa"/>
            <w:vAlign w:val="center"/>
          </w:tcPr>
          <w:p w14:paraId="464EE9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易方达深证100ETF</w:t>
            </w:r>
          </w:p>
        </w:tc>
        <w:tc>
          <w:tcPr>
            <w:tcW w:w="2841" w:type="dxa"/>
            <w:vAlign w:val="center"/>
          </w:tcPr>
          <w:p w14:paraId="5EEC74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159901  深100ETF</w:t>
            </w:r>
          </w:p>
        </w:tc>
      </w:tr>
      <w:tr w14:paraId="406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20CBDA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8FE09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易方达创业板ETF</w:t>
            </w:r>
          </w:p>
        </w:tc>
        <w:tc>
          <w:tcPr>
            <w:tcW w:w="2841" w:type="dxa"/>
            <w:vAlign w:val="center"/>
          </w:tcPr>
          <w:p w14:paraId="5ADC15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159915  创业板</w:t>
            </w:r>
          </w:p>
        </w:tc>
      </w:tr>
      <w:tr w14:paraId="298E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E6D61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1A1450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嘉实沪深300ETF</w:t>
            </w:r>
          </w:p>
        </w:tc>
        <w:tc>
          <w:tcPr>
            <w:tcW w:w="2841" w:type="dxa"/>
            <w:vAlign w:val="center"/>
          </w:tcPr>
          <w:p w14:paraId="04203A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159919  沪深300</w:t>
            </w:r>
          </w:p>
        </w:tc>
      </w:tr>
      <w:tr w14:paraId="2A1E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74F6CC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5FD99E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嘉实中证500ETF</w:t>
            </w:r>
          </w:p>
        </w:tc>
        <w:tc>
          <w:tcPr>
            <w:tcW w:w="2841" w:type="dxa"/>
            <w:vAlign w:val="center"/>
          </w:tcPr>
          <w:p w14:paraId="507E59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159922  500ETF</w:t>
            </w:r>
          </w:p>
        </w:tc>
      </w:tr>
    </w:tbl>
    <w:p w14:paraId="271482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该模块包含：普通交易下单组件、持仓列表、账户资产列表、委托明细列表和成交明细</w:t>
      </w:r>
      <w:r>
        <w:rPr>
          <w:rFonts w:hint="eastAsia" w:ascii="宋体" w:hAnsi="宋体" w:eastAsia="宋体" w:cs="宋体"/>
          <w:lang w:val="en-US" w:eastAsia="zh-CN"/>
        </w:rPr>
        <w:t>列表。不同组件支持拖动、放大、缩小和伸缩，可自由布置组件布局。</w:t>
      </w:r>
    </w:p>
    <w:p w14:paraId="142D08BC">
      <w:pPr>
        <w:rPr>
          <w:rFonts w:hint="eastAsia" w:ascii="宋体" w:hAnsi="宋体" w:eastAsia="宋体" w:cs="宋体"/>
        </w:rPr>
      </w:pPr>
      <w:r>
        <w:rPr>
          <w:rFonts w:hint="eastAsia" w:ascii="宋体" w:hAnsi="宋体" w:eastAsia="宋体" w:cs="宋体"/>
        </w:rPr>
        <w:drawing>
          <wp:inline distT="0" distB="0" distL="114300" distR="114300">
            <wp:extent cx="5266690" cy="2666365"/>
            <wp:effectExtent l="0" t="0" r="0" b="0"/>
            <wp:docPr id="1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
                    <pic:cNvPicPr>
                      <a:picLocks noChangeAspect="1"/>
                    </pic:cNvPicPr>
                  </pic:nvPicPr>
                  <pic:blipFill>
                    <a:blip r:embed="rId20"/>
                    <a:srcRect t="6544"/>
                    <a:stretch>
                      <a:fillRect/>
                    </a:stretch>
                  </pic:blipFill>
                  <pic:spPr>
                    <a:xfrm>
                      <a:off x="0" y="0"/>
                      <a:ext cx="5266690" cy="2666365"/>
                    </a:xfrm>
                    <a:prstGeom prst="rect">
                      <a:avLst/>
                    </a:prstGeom>
                    <a:noFill/>
                    <a:ln>
                      <a:noFill/>
                    </a:ln>
                  </pic:spPr>
                </pic:pic>
              </a:graphicData>
            </a:graphic>
          </wp:inline>
        </w:drawing>
      </w:r>
    </w:p>
    <w:p w14:paraId="7B13ED7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普通交易下单</w:t>
      </w:r>
    </w:p>
    <w:p w14:paraId="2B8AA1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普通交易下单组件，支持Level 2行情，包括十档盘口、标的静态信息、当前标的成交队列。</w:t>
      </w:r>
    </w:p>
    <w:p w14:paraId="04416406">
      <w:pPr>
        <w:numPr>
          <w:ilvl w:val="0"/>
          <w:numId w:val="0"/>
        </w:numPr>
        <w:ind w:leftChars="0"/>
        <w:jc w:val="center"/>
        <w:rPr>
          <w:rFonts w:hint="eastAsia" w:ascii="宋体" w:hAnsi="宋体" w:eastAsia="宋体" w:cs="宋体"/>
          <w:sz w:val="21"/>
          <w:szCs w:val="21"/>
          <w:lang w:val="en-US" w:eastAsia="zh-CN"/>
        </w:rPr>
      </w:pPr>
      <w:r>
        <w:rPr>
          <w:rFonts w:hint="eastAsia" w:ascii="宋体" w:hAnsi="宋体" w:eastAsia="宋体" w:cs="宋体"/>
        </w:rPr>
        <w:drawing>
          <wp:inline distT="0" distB="0" distL="114300" distR="114300">
            <wp:extent cx="5271770" cy="2760980"/>
            <wp:effectExtent l="0" t="0" r="6985" b="2540"/>
            <wp:docPr id="1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pic:cNvPicPr>
                      <a:picLocks noChangeAspect="1"/>
                    </pic:cNvPicPr>
                  </pic:nvPicPr>
                  <pic:blipFill>
                    <a:blip r:embed="rId21"/>
                    <a:stretch>
                      <a:fillRect/>
                    </a:stretch>
                  </pic:blipFill>
                  <pic:spPr>
                    <a:xfrm>
                      <a:off x="0" y="0"/>
                      <a:ext cx="5271770" cy="2760980"/>
                    </a:xfrm>
                    <a:prstGeom prst="rect">
                      <a:avLst/>
                    </a:prstGeom>
                    <a:noFill/>
                    <a:ln>
                      <a:noFill/>
                    </a:ln>
                  </pic:spPr>
                </pic:pic>
              </a:graphicData>
            </a:graphic>
          </wp:inline>
        </w:drawing>
      </w:r>
    </w:p>
    <w:p w14:paraId="2FD1D845">
      <w:pPr>
        <w:numPr>
          <w:ilvl w:val="0"/>
          <w:numId w:val="0"/>
        </w:numPr>
        <w:ind w:leftChars="0"/>
        <w:jc w:val="center"/>
        <w:rPr>
          <w:rFonts w:hint="eastAsia" w:ascii="宋体" w:hAnsi="宋体" w:eastAsia="宋体" w:cs="宋体"/>
        </w:rPr>
      </w:pPr>
    </w:p>
    <w:p w14:paraId="26246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lang w:val="en-US" w:eastAsia="zh-CN"/>
        </w:rPr>
        <w:t>下单面板各字段说明如下表：</w:t>
      </w:r>
    </w:p>
    <w:p w14:paraId="6616F96A">
      <w:pPr>
        <w:numPr>
          <w:ilvl w:val="0"/>
          <w:numId w:val="0"/>
        </w:numPr>
        <w:ind w:leftChars="0"/>
        <w:rPr>
          <w:rFonts w:hint="eastAsia" w:ascii="宋体" w:hAnsi="宋体" w:eastAsia="宋体" w:cs="宋体"/>
          <w:sz w:val="21"/>
          <w:szCs w:val="21"/>
          <w:lang w:val="en-US" w:eastAsia="zh-CN"/>
        </w:rPr>
      </w:pPr>
    </w:p>
    <w:tbl>
      <w:tblPr>
        <w:tblStyle w:val="21"/>
        <w:tblpPr w:vertAnchor="text" w:horzAnchor="page" w:tblpX="1800" w:tblpY="-270"/>
        <w:tblOverlap w:val="never"/>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6"/>
        <w:gridCol w:w="6162"/>
      </w:tblGrid>
      <w:tr w14:paraId="03E7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116" w:type="dxa"/>
          </w:tcPr>
          <w:p w14:paraId="47F32BAE">
            <w:pPr>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名</w:t>
            </w:r>
          </w:p>
        </w:tc>
        <w:tc>
          <w:tcPr>
            <w:tcW w:w="6162" w:type="dxa"/>
          </w:tcPr>
          <w:p w14:paraId="4FDBE40B">
            <w:pPr>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说明</w:t>
            </w:r>
          </w:p>
        </w:tc>
      </w:tr>
      <w:tr w14:paraId="4EC7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1B30956D">
            <w:pPr>
              <w:ind w:firstLine="112"/>
              <w:jc w:val="center"/>
              <w:rPr>
                <w:rFonts w:hint="eastAsia" w:ascii="宋体" w:hAnsi="宋体" w:eastAsia="宋体" w:cs="宋体"/>
                <w:color w:val="010302"/>
              </w:rPr>
            </w:pPr>
            <w:r>
              <w:rPr>
                <w:rFonts w:hint="eastAsia" w:ascii="宋体" w:hAnsi="宋体" w:eastAsia="宋体" w:cs="宋体"/>
                <w:color w:val="000000"/>
                <w:sz w:val="21"/>
                <w:szCs w:val="21"/>
              </w:rPr>
              <w:t>资金</w:t>
            </w:r>
            <w:r>
              <w:rPr>
                <w:rFonts w:hint="eastAsia" w:ascii="宋体" w:hAnsi="宋体" w:eastAsia="宋体" w:cs="宋体"/>
                <w:color w:val="000000"/>
                <w:spacing w:val="-2"/>
                <w:sz w:val="21"/>
                <w:szCs w:val="21"/>
              </w:rPr>
              <w:t>账号</w:t>
            </w:r>
          </w:p>
        </w:tc>
        <w:tc>
          <w:tcPr>
            <w:tcW w:w="6162" w:type="dxa"/>
          </w:tcPr>
          <w:p w14:paraId="3907EBEE">
            <w:pP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只支</w:t>
            </w:r>
            <w:r>
              <w:rPr>
                <w:rFonts w:hint="eastAsia" w:ascii="宋体" w:hAnsi="宋体" w:eastAsia="宋体" w:cs="宋体"/>
                <w:color w:val="000000"/>
                <w:spacing w:val="-2"/>
                <w:sz w:val="21"/>
                <w:szCs w:val="21"/>
                <w:lang w:eastAsia="zh-CN"/>
              </w:rPr>
              <w:t>持</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择</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w:t>
            </w:r>
            <w:r>
              <w:rPr>
                <w:rFonts w:hint="eastAsia" w:ascii="宋体" w:hAnsi="宋体" w:eastAsia="宋体" w:cs="宋体"/>
                <w:color w:val="000000"/>
                <w:sz w:val="21"/>
                <w:szCs w:val="21"/>
                <w:lang w:eastAsia="zh-CN"/>
              </w:rPr>
              <w:t>用</w:t>
            </w:r>
            <w:r>
              <w:rPr>
                <w:rFonts w:hint="eastAsia" w:ascii="宋体" w:hAnsi="宋体" w:eastAsia="宋体" w:cs="宋体"/>
                <w:color w:val="000000"/>
                <w:spacing w:val="-2"/>
                <w:sz w:val="21"/>
                <w:szCs w:val="21"/>
                <w:lang w:eastAsia="zh-CN"/>
              </w:rPr>
              <w:t>户</w:t>
            </w:r>
            <w:r>
              <w:rPr>
                <w:rFonts w:hint="eastAsia" w:ascii="宋体" w:hAnsi="宋体" w:eastAsia="宋体" w:cs="宋体"/>
                <w:color w:val="000000"/>
                <w:sz w:val="21"/>
                <w:szCs w:val="21"/>
                <w:lang w:eastAsia="zh-CN"/>
              </w:rPr>
              <w:t>已</w:t>
            </w:r>
            <w:r>
              <w:rPr>
                <w:rFonts w:hint="eastAsia" w:ascii="宋体" w:hAnsi="宋体" w:eastAsia="宋体" w:cs="宋体"/>
                <w:color w:val="000000"/>
                <w:spacing w:val="-2"/>
                <w:sz w:val="21"/>
                <w:szCs w:val="21"/>
                <w:lang w:eastAsia="zh-CN"/>
              </w:rPr>
              <w:t>授</w:t>
            </w:r>
            <w:r>
              <w:rPr>
                <w:rFonts w:hint="eastAsia" w:ascii="宋体" w:hAnsi="宋体" w:eastAsia="宋体" w:cs="宋体"/>
                <w:color w:val="000000"/>
                <w:sz w:val="21"/>
                <w:szCs w:val="21"/>
                <w:lang w:eastAsia="zh-CN"/>
              </w:rPr>
              <w:t>权且</w:t>
            </w:r>
            <w:r>
              <w:rPr>
                <w:rFonts w:hint="eastAsia" w:ascii="宋体" w:hAnsi="宋体" w:eastAsia="宋体" w:cs="宋体"/>
                <w:color w:val="000000"/>
                <w:spacing w:val="-2"/>
                <w:sz w:val="21"/>
                <w:szCs w:val="21"/>
                <w:lang w:eastAsia="zh-CN"/>
              </w:rPr>
              <w:t>密</w:t>
            </w:r>
            <w:r>
              <w:rPr>
                <w:rFonts w:hint="eastAsia" w:ascii="宋体" w:hAnsi="宋体" w:eastAsia="宋体" w:cs="宋体"/>
                <w:color w:val="000000"/>
                <w:sz w:val="21"/>
                <w:szCs w:val="21"/>
                <w:lang w:eastAsia="zh-CN"/>
              </w:rPr>
              <w:t>码</w:t>
            </w:r>
            <w:r>
              <w:rPr>
                <w:rFonts w:hint="eastAsia" w:ascii="宋体" w:hAnsi="宋体" w:eastAsia="宋体" w:cs="宋体"/>
                <w:color w:val="000000"/>
                <w:spacing w:val="-2"/>
                <w:sz w:val="21"/>
                <w:szCs w:val="21"/>
                <w:lang w:eastAsia="zh-CN"/>
              </w:rPr>
              <w:t>检</w:t>
            </w:r>
            <w:r>
              <w:rPr>
                <w:rFonts w:hint="eastAsia" w:ascii="宋体" w:hAnsi="宋体" w:eastAsia="宋体" w:cs="宋体"/>
                <w:color w:val="000000"/>
                <w:sz w:val="21"/>
                <w:szCs w:val="21"/>
                <w:lang w:eastAsia="zh-CN"/>
              </w:rPr>
              <w:t>验</w:t>
            </w:r>
            <w:r>
              <w:rPr>
                <w:rFonts w:hint="eastAsia" w:ascii="宋体" w:hAnsi="宋体" w:eastAsia="宋体" w:cs="宋体"/>
                <w:color w:val="000000"/>
                <w:spacing w:val="-2"/>
                <w:sz w:val="21"/>
                <w:szCs w:val="21"/>
                <w:lang w:eastAsia="zh-CN"/>
              </w:rPr>
              <w:t>通</w:t>
            </w:r>
            <w:r>
              <w:rPr>
                <w:rFonts w:hint="eastAsia" w:ascii="宋体" w:hAnsi="宋体" w:eastAsia="宋体" w:cs="宋体"/>
                <w:color w:val="000000"/>
                <w:sz w:val="21"/>
                <w:szCs w:val="21"/>
                <w:lang w:eastAsia="zh-CN"/>
              </w:rPr>
              <w:t>过</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普</w:t>
            </w:r>
            <w:r>
              <w:rPr>
                <w:rFonts w:hint="eastAsia" w:ascii="宋体" w:hAnsi="宋体" w:eastAsia="宋体" w:cs="宋体"/>
                <w:color w:val="000000"/>
                <w:spacing w:val="-2"/>
                <w:sz w:val="21"/>
                <w:szCs w:val="21"/>
                <w:lang w:eastAsia="zh-CN"/>
              </w:rPr>
              <w:t>通</w:t>
            </w:r>
            <w:r>
              <w:rPr>
                <w:rFonts w:hint="eastAsia" w:ascii="宋体" w:hAnsi="宋体" w:eastAsia="宋体" w:cs="宋体"/>
                <w:color w:val="000000"/>
                <w:sz w:val="21"/>
                <w:szCs w:val="21"/>
                <w:lang w:eastAsia="zh-CN"/>
              </w:rPr>
              <w:t>资金</w:t>
            </w:r>
            <w:r>
              <w:rPr>
                <w:rFonts w:hint="eastAsia" w:ascii="宋体" w:hAnsi="宋体" w:eastAsia="宋体" w:cs="宋体"/>
                <w:color w:val="000000"/>
                <w:spacing w:val="-2"/>
                <w:sz w:val="21"/>
                <w:szCs w:val="21"/>
                <w:lang w:eastAsia="zh-CN"/>
              </w:rPr>
              <w:t>账号</w:t>
            </w:r>
            <w:r>
              <w:rPr>
                <w:rFonts w:hint="eastAsia" w:ascii="宋体" w:hAnsi="宋体" w:eastAsia="宋体" w:cs="宋体"/>
                <w:color w:val="000000"/>
                <w:sz w:val="21"/>
                <w:szCs w:val="21"/>
                <w:lang w:eastAsia="zh-CN"/>
              </w:rPr>
              <w:t xml:space="preserve">  </w:t>
            </w:r>
          </w:p>
        </w:tc>
      </w:tr>
      <w:tr w14:paraId="552B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56BBC0AA">
            <w:pPr>
              <w:ind w:firstLine="112"/>
              <w:jc w:val="center"/>
              <w:rPr>
                <w:rFonts w:hint="eastAsia" w:ascii="宋体" w:hAnsi="宋体" w:eastAsia="宋体" w:cs="宋体"/>
                <w:color w:val="010302"/>
              </w:rPr>
            </w:pPr>
            <w:r>
              <w:rPr>
                <w:rFonts w:hint="eastAsia" w:ascii="宋体" w:hAnsi="宋体" w:eastAsia="宋体" w:cs="宋体"/>
                <w:color w:val="000000"/>
                <w:sz w:val="21"/>
                <w:szCs w:val="21"/>
              </w:rPr>
              <w:t>证券</w:t>
            </w:r>
            <w:r>
              <w:rPr>
                <w:rFonts w:hint="eastAsia" w:ascii="宋体" w:hAnsi="宋体" w:eastAsia="宋体" w:cs="宋体"/>
                <w:color w:val="000000"/>
                <w:spacing w:val="-2"/>
                <w:sz w:val="21"/>
                <w:szCs w:val="21"/>
              </w:rPr>
              <w:t>代码</w:t>
            </w:r>
          </w:p>
        </w:tc>
        <w:tc>
          <w:tcPr>
            <w:tcW w:w="6162" w:type="dxa"/>
          </w:tcPr>
          <w:p w14:paraId="2A91C7A2">
            <w:pPr>
              <w:rPr>
                <w:rFonts w:hint="eastAsia" w:ascii="宋体" w:hAnsi="宋体" w:eastAsia="宋体" w:cs="宋体"/>
                <w:color w:val="010302"/>
                <w:lang w:val="en-US"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上</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深</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ETF基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lang w:val="en-US" w:eastAsia="zh-CN"/>
              </w:rPr>
              <w:t>支持模糊匹配输入内容。输入代码后，展示对应的基金名称</w:t>
            </w:r>
          </w:p>
        </w:tc>
      </w:tr>
      <w:tr w14:paraId="7B03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116" w:type="dxa"/>
            <w:vAlign w:val="center"/>
          </w:tcPr>
          <w:p w14:paraId="7EC65C07">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方向</w:t>
            </w:r>
          </w:p>
        </w:tc>
        <w:tc>
          <w:tcPr>
            <w:tcW w:w="6162" w:type="dxa"/>
          </w:tcPr>
          <w:p w14:paraId="38897076">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入</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出</w:t>
            </w:r>
            <w:r>
              <w:rPr>
                <w:rFonts w:hint="eastAsia" w:ascii="宋体" w:hAnsi="宋体" w:eastAsia="宋体" w:cs="宋体"/>
                <w:color w:val="000000"/>
                <w:sz w:val="21"/>
                <w:szCs w:val="21"/>
                <w:lang w:eastAsia="zh-CN"/>
              </w:rPr>
              <w:t xml:space="preserve">  </w:t>
            </w:r>
          </w:p>
        </w:tc>
      </w:tr>
      <w:tr w14:paraId="7D20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2116" w:type="dxa"/>
            <w:vAlign w:val="center"/>
          </w:tcPr>
          <w:p w14:paraId="3120EB4E">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报价</w:t>
            </w:r>
            <w:r>
              <w:rPr>
                <w:rFonts w:hint="eastAsia" w:ascii="宋体" w:hAnsi="宋体" w:eastAsia="宋体" w:cs="宋体"/>
                <w:color w:val="000000"/>
                <w:spacing w:val="-2"/>
                <w:sz w:val="21"/>
                <w:szCs w:val="21"/>
              </w:rPr>
              <w:t>类型</w:t>
            </w:r>
          </w:p>
        </w:tc>
        <w:tc>
          <w:tcPr>
            <w:tcW w:w="6162" w:type="dxa"/>
          </w:tcPr>
          <w:p w14:paraId="24D9B02C">
            <w:pPr>
              <w:spacing w:before="16"/>
              <w:rPr>
                <w:rFonts w:hint="eastAsia" w:ascii="宋体" w:hAnsi="宋体" w:eastAsia="宋体" w:cs="宋体"/>
                <w:color w:val="000000"/>
                <w:spacing w:val="-7"/>
                <w:sz w:val="21"/>
                <w:szCs w:val="21"/>
                <w:lang w:val="en-US" w:eastAsia="zh-CN"/>
              </w:rPr>
            </w:pPr>
            <w:r>
              <w:rPr>
                <w:rFonts w:hint="eastAsia" w:ascii="宋体" w:hAnsi="宋体" w:eastAsia="宋体" w:cs="宋体"/>
                <w:color w:val="000000"/>
                <w:sz w:val="21"/>
                <w:szCs w:val="21"/>
                <w:lang w:val="en-US" w:eastAsia="zh-CN"/>
              </w:rPr>
              <w:t>下拉选择框，包括：</w:t>
            </w:r>
            <w:r>
              <w:rPr>
                <w:rFonts w:hint="eastAsia" w:ascii="宋体" w:hAnsi="宋体" w:eastAsia="宋体" w:cs="宋体"/>
                <w:color w:val="000000"/>
                <w:sz w:val="21"/>
                <w:szCs w:val="21"/>
                <w:lang w:eastAsia="zh-CN"/>
              </w:rPr>
              <w:t>限价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新</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val="en-US" w:eastAsia="zh-CN"/>
              </w:rPr>
              <w:t>买一价</w:t>
            </w:r>
            <w:r>
              <w:rPr>
                <w:rFonts w:hint="eastAsia" w:ascii="宋体" w:hAnsi="宋体" w:eastAsia="宋体" w:cs="宋体"/>
                <w:color w:val="000000"/>
                <w:spacing w:val="-2"/>
                <w:sz w:val="21"/>
                <w:szCs w:val="21"/>
                <w:lang w:val="en-US" w:eastAsia="zh-CN"/>
              </w:rPr>
              <w:t>，卖一价，五档即成剩撤，五档即成剩转限价，本方最优，对手方最优，</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停</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跌停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2"/>
                <w:sz w:val="21"/>
                <w:szCs w:val="21"/>
                <w:lang w:eastAsia="zh-CN"/>
              </w:rPr>
              <w:t>市</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lang w:val="en-US" w:eastAsia="zh-CN"/>
              </w:rPr>
              <w:t>卖五/卖四/卖三/卖二，买二/买三/买四/买五</w:t>
            </w:r>
          </w:p>
          <w:p w14:paraId="5F55160C">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其中最新价、买卖五档盘口档位价、</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跌</w:t>
            </w:r>
            <w:r>
              <w:rPr>
                <w:rFonts w:hint="eastAsia" w:ascii="宋体" w:hAnsi="宋体" w:eastAsia="宋体" w:cs="宋体"/>
                <w:color w:val="000000"/>
                <w:sz w:val="21"/>
                <w:szCs w:val="21"/>
                <w:lang w:eastAsia="zh-CN"/>
              </w:rPr>
              <w:t>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时</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支</w:t>
            </w:r>
            <w:r>
              <w:rPr>
                <w:rFonts w:hint="eastAsia" w:ascii="宋体" w:hAnsi="宋体" w:eastAsia="宋体" w:cs="宋体"/>
                <w:color w:val="000000"/>
                <w:sz w:val="21"/>
                <w:szCs w:val="21"/>
                <w:lang w:eastAsia="zh-CN"/>
              </w:rPr>
              <w:t>持</w:t>
            </w:r>
            <w:r>
              <w:rPr>
                <w:rFonts w:hint="eastAsia" w:ascii="宋体" w:hAnsi="宋体" w:eastAsia="宋体" w:cs="宋体"/>
                <w:color w:val="000000"/>
                <w:spacing w:val="-2"/>
                <w:sz w:val="21"/>
                <w:szCs w:val="21"/>
                <w:lang w:eastAsia="zh-CN"/>
              </w:rPr>
              <w:t>设</w:t>
            </w:r>
            <w:r>
              <w:rPr>
                <w:rFonts w:hint="eastAsia" w:ascii="宋体" w:hAnsi="宋体" w:eastAsia="宋体" w:cs="宋体"/>
                <w:color w:val="000000"/>
                <w:sz w:val="21"/>
                <w:szCs w:val="21"/>
                <w:lang w:eastAsia="zh-CN"/>
              </w:rPr>
              <w:t>置</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比</w:t>
            </w:r>
            <w:r>
              <w:rPr>
                <w:rFonts w:hint="eastAsia" w:ascii="宋体" w:hAnsi="宋体" w:eastAsia="宋体" w:cs="宋体"/>
                <w:color w:val="000000"/>
                <w:sz w:val="21"/>
                <w:szCs w:val="21"/>
                <w:lang w:eastAsia="zh-CN"/>
              </w:rPr>
              <w:t>例</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动单</w:t>
            </w:r>
            <w:r>
              <w:rPr>
                <w:rFonts w:hint="eastAsia" w:ascii="宋体" w:hAnsi="宋体" w:eastAsia="宋体" w:cs="宋体"/>
                <w:color w:val="000000"/>
                <w:spacing w:val="-2"/>
                <w:sz w:val="21"/>
                <w:szCs w:val="21"/>
                <w:lang w:eastAsia="zh-CN"/>
              </w:rPr>
              <w:t>位</w:t>
            </w:r>
            <w:r>
              <w:rPr>
                <w:rFonts w:hint="eastAsia" w:ascii="宋体" w:hAnsi="宋体" w:eastAsia="宋体" w:cs="宋体"/>
                <w:color w:val="000000"/>
                <w:sz w:val="21"/>
                <w:szCs w:val="21"/>
                <w:lang w:eastAsia="zh-CN"/>
              </w:rPr>
              <w:t>为标的最</w:t>
            </w:r>
            <w:r>
              <w:rPr>
                <w:rFonts w:hint="eastAsia" w:ascii="宋体" w:hAnsi="宋体" w:eastAsia="宋体" w:cs="宋体"/>
                <w:color w:val="000000"/>
                <w:spacing w:val="-2"/>
                <w:sz w:val="21"/>
                <w:szCs w:val="21"/>
                <w:lang w:eastAsia="zh-CN"/>
              </w:rPr>
              <w:t>小</w:t>
            </w:r>
            <w:r>
              <w:rPr>
                <w:rFonts w:hint="eastAsia" w:ascii="宋体" w:hAnsi="宋体" w:eastAsia="宋体" w:cs="宋体"/>
                <w:color w:val="000000"/>
                <w:sz w:val="21"/>
                <w:szCs w:val="21"/>
                <w:lang w:eastAsia="zh-CN"/>
              </w:rPr>
              <w:t>变</w:t>
            </w:r>
            <w:r>
              <w:rPr>
                <w:rFonts w:hint="eastAsia" w:ascii="宋体" w:hAnsi="宋体" w:eastAsia="宋体" w:cs="宋体"/>
                <w:color w:val="000000"/>
                <w:spacing w:val="-2"/>
                <w:sz w:val="21"/>
                <w:szCs w:val="21"/>
                <w:lang w:eastAsia="zh-CN"/>
              </w:rPr>
              <w:t>动</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差</w:t>
            </w:r>
          </w:p>
        </w:tc>
      </w:tr>
      <w:tr w14:paraId="4D70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452397B9">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价格</w:t>
            </w:r>
          </w:p>
        </w:tc>
        <w:tc>
          <w:tcPr>
            <w:tcW w:w="6162" w:type="dxa"/>
          </w:tcPr>
          <w:p w14:paraId="7FC5E51A">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仅在</w:t>
            </w:r>
            <w:r>
              <w:rPr>
                <w:rFonts w:hint="eastAsia" w:ascii="宋体" w:hAnsi="宋体" w:eastAsia="宋体" w:cs="宋体"/>
                <w:color w:val="000000"/>
                <w:spacing w:val="-2"/>
                <w:sz w:val="21"/>
                <w:szCs w:val="21"/>
                <w:lang w:eastAsia="zh-CN"/>
              </w:rPr>
              <w:t>限</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下</w:t>
            </w:r>
            <w:r>
              <w:rPr>
                <w:rFonts w:hint="eastAsia" w:ascii="宋体" w:hAnsi="宋体" w:eastAsia="宋体" w:cs="宋体"/>
                <w:color w:val="000000"/>
                <w:spacing w:val="-2"/>
                <w:sz w:val="21"/>
                <w:szCs w:val="21"/>
                <w:lang w:eastAsia="zh-CN"/>
              </w:rPr>
              <w:t>有效</w:t>
            </w:r>
            <w:r>
              <w:rPr>
                <w:rFonts w:hint="eastAsia" w:ascii="宋体" w:hAnsi="宋体" w:eastAsia="宋体" w:cs="宋体"/>
                <w:color w:val="000000"/>
                <w:sz w:val="21"/>
                <w:szCs w:val="21"/>
                <w:lang w:eastAsia="zh-CN"/>
              </w:rPr>
              <w:t xml:space="preserve">  </w:t>
            </w:r>
          </w:p>
        </w:tc>
      </w:tr>
      <w:tr w14:paraId="6357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2116" w:type="dxa"/>
            <w:vAlign w:val="center"/>
          </w:tcPr>
          <w:p w14:paraId="34A69066">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数</w:t>
            </w:r>
            <w:r>
              <w:rPr>
                <w:rFonts w:hint="eastAsia" w:ascii="宋体" w:hAnsi="宋体" w:eastAsia="宋体" w:cs="宋体"/>
                <w:color w:val="000000"/>
                <w:sz w:val="21"/>
                <w:szCs w:val="21"/>
              </w:rPr>
              <w:t>量</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委</w:t>
            </w:r>
            <w:r>
              <w:rPr>
                <w:rFonts w:hint="eastAsia" w:ascii="宋体" w:hAnsi="宋体" w:eastAsia="宋体" w:cs="宋体"/>
                <w:color w:val="000000"/>
                <w:spacing w:val="-2"/>
                <w:sz w:val="21"/>
                <w:szCs w:val="21"/>
              </w:rPr>
              <w:t>托</w:t>
            </w:r>
            <w:r>
              <w:rPr>
                <w:rFonts w:hint="eastAsia" w:ascii="宋体" w:hAnsi="宋体" w:eastAsia="宋体" w:cs="宋体"/>
                <w:color w:val="000000"/>
                <w:sz w:val="21"/>
                <w:szCs w:val="21"/>
              </w:rPr>
              <w:t>金</w:t>
            </w:r>
            <w:r>
              <w:rPr>
                <w:rFonts w:hint="eastAsia" w:ascii="宋体" w:hAnsi="宋体" w:eastAsia="宋体" w:cs="宋体"/>
                <w:color w:val="000000"/>
                <w:spacing w:val="-2"/>
                <w:sz w:val="21"/>
                <w:szCs w:val="21"/>
              </w:rPr>
              <w:t>额</w:t>
            </w:r>
          </w:p>
        </w:tc>
        <w:tc>
          <w:tcPr>
            <w:tcW w:w="6162" w:type="dxa"/>
          </w:tcPr>
          <w:p w14:paraId="5E961A15">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默认</w:t>
            </w:r>
            <w:r>
              <w:rPr>
                <w:rFonts w:hint="eastAsia" w:ascii="宋体" w:hAnsi="宋体" w:eastAsia="宋体" w:cs="宋体"/>
                <w:color w:val="000000"/>
                <w:spacing w:val="-2"/>
                <w:sz w:val="21"/>
                <w:szCs w:val="21"/>
                <w:lang w:eastAsia="zh-CN"/>
              </w:rPr>
              <w:t>展</w:t>
            </w:r>
            <w:r>
              <w:rPr>
                <w:rFonts w:hint="eastAsia" w:ascii="宋体" w:hAnsi="宋体" w:eastAsia="宋体" w:cs="宋体"/>
                <w:color w:val="000000"/>
                <w:sz w:val="21"/>
                <w:szCs w:val="21"/>
                <w:lang w:eastAsia="zh-CN"/>
              </w:rPr>
              <w:t>示</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是</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下单</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单位</w:t>
            </w:r>
            <w:r>
              <w:rPr>
                <w:rFonts w:hint="eastAsia" w:ascii="宋体" w:hAnsi="宋体" w:eastAsia="宋体" w:cs="宋体"/>
                <w:color w:val="000000"/>
                <w:sz w:val="21"/>
                <w:szCs w:val="21"/>
                <w:lang w:eastAsia="zh-CN"/>
              </w:rPr>
              <w:t>统一</w:t>
            </w:r>
            <w:r>
              <w:rPr>
                <w:rFonts w:hint="eastAsia" w:ascii="宋体" w:hAnsi="宋体" w:eastAsia="宋体" w:cs="宋体"/>
                <w:color w:val="000000"/>
                <w:spacing w:val="-9"/>
                <w:sz w:val="21"/>
                <w:szCs w:val="21"/>
                <w:lang w:eastAsia="zh-CN"/>
              </w:rPr>
              <w:t>是</w:t>
            </w:r>
            <w:r>
              <w:rPr>
                <w:rFonts w:hint="eastAsia" w:ascii="宋体" w:hAnsi="宋体" w:eastAsia="宋体" w:cs="宋体"/>
                <w:color w:val="000000"/>
                <w:sz w:val="21"/>
                <w:szCs w:val="21"/>
                <w:lang w:eastAsia="zh-CN"/>
              </w:rPr>
              <w:t>“股</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w:t>
            </w:r>
            <w:r>
              <w:rPr>
                <w:rFonts w:hint="eastAsia" w:ascii="宋体" w:hAnsi="宋体" w:eastAsia="宋体" w:cs="宋体"/>
                <w:sz w:val="21"/>
                <w:szCs w:val="21"/>
                <w:lang w:eastAsia="zh-CN"/>
              </w:rPr>
              <w:t xml:space="preserve"> </w:t>
            </w:r>
          </w:p>
          <w:p w14:paraId="7852BFC8">
            <w:pPr>
              <w:spacing w:before="14" w:line="312" w:lineRule="exact"/>
              <w:ind w:right="20"/>
              <w:rPr>
                <w:rFonts w:hint="eastAsia" w:ascii="宋体" w:hAnsi="宋体" w:eastAsia="宋体" w:cs="宋体"/>
                <w:color w:val="010302"/>
                <w:lang w:eastAsia="zh-CN"/>
              </w:rPr>
            </w:pP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点</w:t>
            </w:r>
            <w:r>
              <w:rPr>
                <w:rFonts w:hint="eastAsia" w:ascii="宋体" w:hAnsi="宋体" w:eastAsia="宋体" w:cs="宋体"/>
                <w:color w:val="000000"/>
                <w:spacing w:val="-2"/>
                <w:sz w:val="21"/>
                <w:szCs w:val="21"/>
                <w:lang w:eastAsia="zh-CN"/>
              </w:rPr>
              <w:t>击</w:t>
            </w:r>
            <w:r>
              <w:rPr>
                <w:rFonts w:hint="eastAsia" w:ascii="宋体" w:hAnsi="宋体" w:eastAsia="宋体" w:cs="宋体"/>
                <w:color w:val="000000"/>
                <w:sz w:val="21"/>
                <w:szCs w:val="21"/>
                <w:lang w:eastAsia="zh-CN"/>
              </w:rPr>
              <w:t>“股</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张</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切</w:t>
            </w:r>
            <w:r>
              <w:rPr>
                <w:rFonts w:hint="eastAsia" w:ascii="宋体" w:hAnsi="宋体" w:eastAsia="宋体" w:cs="宋体"/>
                <w:color w:val="000000"/>
                <w:spacing w:val="-2"/>
                <w:sz w:val="21"/>
                <w:szCs w:val="21"/>
                <w:lang w:eastAsia="zh-CN"/>
              </w:rPr>
              <w:t>换成</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元</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同时变更</w:t>
            </w:r>
            <w:r>
              <w:rPr>
                <w:rFonts w:hint="eastAsia" w:ascii="宋体" w:hAnsi="宋体" w:eastAsia="宋体" w:cs="宋体"/>
                <w:color w:val="000000"/>
                <w:spacing w:val="-2"/>
                <w:sz w:val="21"/>
                <w:szCs w:val="21"/>
                <w:lang w:eastAsia="zh-CN"/>
              </w:rPr>
              <w:t>为</w:t>
            </w:r>
            <w:r>
              <w:rPr>
                <w:rFonts w:hint="eastAsia" w:ascii="宋体" w:hAnsi="宋体" w:eastAsia="宋体" w:cs="宋体"/>
                <w:color w:val="000000"/>
                <w:sz w:val="21"/>
                <w:szCs w:val="21"/>
                <w:lang w:eastAsia="zh-CN"/>
              </w:rPr>
              <w:t>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额</w:t>
            </w:r>
            <w:r>
              <w:rPr>
                <w:rFonts w:hint="eastAsia" w:ascii="宋体" w:hAnsi="宋体" w:eastAsia="宋体" w:cs="宋体"/>
                <w:color w:val="000000"/>
                <w:spacing w:val="-2"/>
                <w:sz w:val="21"/>
                <w:szCs w:val="21"/>
                <w:lang w:eastAsia="zh-CN"/>
              </w:rPr>
              <w:t>下单</w:t>
            </w:r>
            <w:r>
              <w:rPr>
                <w:rFonts w:hint="eastAsia" w:ascii="宋体" w:hAnsi="宋体" w:eastAsia="宋体" w:cs="宋体"/>
                <w:color w:val="000000"/>
                <w:sz w:val="21"/>
                <w:szCs w:val="21"/>
                <w:lang w:eastAsia="zh-CN"/>
              </w:rPr>
              <w:t xml:space="preserve">  </w:t>
            </w:r>
          </w:p>
        </w:tc>
      </w:tr>
      <w:tr w14:paraId="7135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5797C586">
            <w:pPr>
              <w:ind w:firstLine="112"/>
              <w:jc w:val="center"/>
              <w:rPr>
                <w:rFonts w:hint="eastAsia" w:ascii="宋体" w:hAnsi="宋体" w:eastAsia="宋体" w:cs="宋体"/>
                <w:color w:val="010302"/>
              </w:rPr>
            </w:pPr>
            <w:r>
              <w:rPr>
                <w:rFonts w:hint="eastAsia" w:ascii="宋体" w:hAnsi="宋体" w:eastAsia="宋体" w:cs="宋体"/>
                <w:color w:val="000000"/>
                <w:sz w:val="21"/>
                <w:szCs w:val="21"/>
              </w:rPr>
              <w:t>可买</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可</w:t>
            </w:r>
            <w:r>
              <w:rPr>
                <w:rFonts w:hint="eastAsia" w:ascii="宋体" w:hAnsi="宋体" w:eastAsia="宋体" w:cs="宋体"/>
                <w:color w:val="000000"/>
                <w:spacing w:val="-2"/>
                <w:sz w:val="21"/>
                <w:szCs w:val="21"/>
              </w:rPr>
              <w:t>卖</w:t>
            </w:r>
            <w:r>
              <w:rPr>
                <w:rFonts w:hint="eastAsia" w:ascii="宋体" w:hAnsi="宋体" w:eastAsia="宋体" w:cs="宋体"/>
                <w:color w:val="000000"/>
                <w:sz w:val="21"/>
                <w:szCs w:val="21"/>
              </w:rPr>
              <w:t>数</w:t>
            </w:r>
            <w:r>
              <w:rPr>
                <w:rFonts w:hint="eastAsia" w:ascii="宋体" w:hAnsi="宋体" w:eastAsia="宋体" w:cs="宋体"/>
                <w:color w:val="000000"/>
                <w:spacing w:val="-2"/>
                <w:sz w:val="21"/>
                <w:szCs w:val="21"/>
              </w:rPr>
              <w:t>量</w:t>
            </w:r>
            <w:r>
              <w:rPr>
                <w:rFonts w:hint="eastAsia" w:ascii="宋体" w:hAnsi="宋体" w:eastAsia="宋体" w:cs="宋体"/>
                <w:color w:val="000000"/>
                <w:sz w:val="21"/>
                <w:szCs w:val="21"/>
              </w:rPr>
              <w:t>比</w:t>
            </w:r>
            <w:r>
              <w:rPr>
                <w:rFonts w:hint="eastAsia" w:ascii="宋体" w:hAnsi="宋体" w:eastAsia="宋体" w:cs="宋体"/>
                <w:color w:val="000000"/>
                <w:spacing w:val="-2"/>
                <w:sz w:val="21"/>
                <w:szCs w:val="21"/>
              </w:rPr>
              <w:t>例</w:t>
            </w:r>
          </w:p>
        </w:tc>
        <w:tc>
          <w:tcPr>
            <w:tcW w:w="6162" w:type="dxa"/>
          </w:tcPr>
          <w:p w14:paraId="657B2CCE">
            <w:pP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数</w:t>
            </w:r>
            <w:r>
              <w:rPr>
                <w:rFonts w:hint="eastAsia" w:ascii="宋体" w:hAnsi="宋体" w:eastAsia="宋体" w:cs="宋体"/>
                <w:color w:val="000000"/>
                <w:sz w:val="21"/>
                <w:szCs w:val="21"/>
              </w:rPr>
              <w:t>量</w:t>
            </w:r>
            <w:r>
              <w:rPr>
                <w:rFonts w:hint="eastAsia" w:ascii="宋体" w:hAnsi="宋体" w:eastAsia="宋体" w:cs="宋体"/>
                <w:color w:val="000000"/>
                <w:spacing w:val="-2"/>
                <w:sz w:val="21"/>
                <w:szCs w:val="21"/>
              </w:rPr>
              <w:t>的</w:t>
            </w:r>
            <w:r>
              <w:rPr>
                <w:rFonts w:hint="eastAsia" w:ascii="宋体" w:hAnsi="宋体" w:eastAsia="宋体" w:cs="宋体"/>
                <w:color w:val="000000"/>
                <w:sz w:val="21"/>
                <w:szCs w:val="21"/>
              </w:rPr>
              <w:t>快</w:t>
            </w:r>
            <w:r>
              <w:rPr>
                <w:rFonts w:hint="eastAsia" w:ascii="宋体" w:hAnsi="宋体" w:eastAsia="宋体" w:cs="宋体"/>
                <w:color w:val="000000"/>
                <w:spacing w:val="-2"/>
                <w:sz w:val="21"/>
                <w:szCs w:val="21"/>
              </w:rPr>
              <w:t>捷键</w:t>
            </w:r>
            <w:r>
              <w:rPr>
                <w:rFonts w:hint="eastAsia" w:ascii="宋体" w:hAnsi="宋体" w:eastAsia="宋体" w:cs="宋体"/>
                <w:color w:val="000000"/>
                <w:sz w:val="21"/>
                <w:szCs w:val="21"/>
              </w:rPr>
              <w:t xml:space="preserve">  </w:t>
            </w:r>
          </w:p>
        </w:tc>
      </w:tr>
      <w:tr w14:paraId="2443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2116" w:type="dxa"/>
            <w:vAlign w:val="center"/>
          </w:tcPr>
          <w:p w14:paraId="214758B2">
            <w:pPr>
              <w:ind w:firstLine="112"/>
              <w:jc w:val="center"/>
              <w:rPr>
                <w:rFonts w:hint="eastAsia" w:ascii="宋体" w:hAnsi="宋体" w:eastAsia="宋体" w:cs="宋体"/>
                <w:color w:val="010302"/>
              </w:rPr>
            </w:pPr>
            <w:r>
              <w:rPr>
                <w:rFonts w:hint="eastAsia" w:ascii="宋体" w:hAnsi="宋体" w:eastAsia="宋体" w:cs="宋体"/>
                <w:color w:val="000000"/>
                <w:sz w:val="21"/>
                <w:szCs w:val="21"/>
              </w:rPr>
              <w:t>最大</w:t>
            </w:r>
            <w:r>
              <w:rPr>
                <w:rFonts w:hint="eastAsia" w:ascii="宋体" w:hAnsi="宋体" w:eastAsia="宋体" w:cs="宋体"/>
                <w:color w:val="000000"/>
                <w:spacing w:val="-2"/>
                <w:sz w:val="21"/>
                <w:szCs w:val="21"/>
              </w:rPr>
              <w:t>可</w:t>
            </w:r>
            <w:r>
              <w:rPr>
                <w:rFonts w:hint="eastAsia" w:ascii="宋体" w:hAnsi="宋体" w:eastAsia="宋体" w:cs="宋体"/>
                <w:color w:val="000000"/>
                <w:sz w:val="21"/>
                <w:szCs w:val="21"/>
              </w:rPr>
              <w:t>买</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可</w:t>
            </w:r>
            <w:r>
              <w:rPr>
                <w:rFonts w:hint="eastAsia" w:ascii="宋体" w:hAnsi="宋体" w:eastAsia="宋体" w:cs="宋体"/>
                <w:color w:val="000000"/>
                <w:spacing w:val="-2"/>
                <w:sz w:val="21"/>
                <w:szCs w:val="21"/>
              </w:rPr>
              <w:t>卖</w:t>
            </w:r>
          </w:p>
        </w:tc>
        <w:tc>
          <w:tcPr>
            <w:tcW w:w="6162" w:type="dxa"/>
          </w:tcPr>
          <w:p w14:paraId="4D758DC9">
            <w:pP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系统</w:t>
            </w:r>
            <w:r>
              <w:rPr>
                <w:rFonts w:hint="eastAsia" w:ascii="宋体" w:hAnsi="宋体" w:eastAsia="宋体" w:cs="宋体"/>
                <w:color w:val="000000"/>
                <w:spacing w:val="-2"/>
                <w:sz w:val="21"/>
                <w:szCs w:val="21"/>
                <w:lang w:eastAsia="zh-CN"/>
              </w:rPr>
              <w:t>预</w:t>
            </w:r>
            <w:r>
              <w:rPr>
                <w:rFonts w:hint="eastAsia" w:ascii="宋体" w:hAnsi="宋体" w:eastAsia="宋体" w:cs="宋体"/>
                <w:color w:val="000000"/>
                <w:sz w:val="21"/>
                <w:szCs w:val="21"/>
                <w:lang w:eastAsia="zh-CN"/>
              </w:rPr>
              <w:t>估</w:t>
            </w:r>
            <w:r>
              <w:rPr>
                <w:rFonts w:hint="eastAsia" w:ascii="宋体" w:hAnsi="宋体" w:eastAsia="宋体" w:cs="宋体"/>
                <w:color w:val="000000"/>
                <w:spacing w:val="-2"/>
                <w:sz w:val="21"/>
                <w:szCs w:val="21"/>
                <w:lang w:eastAsia="zh-CN"/>
              </w:rPr>
              <w:t>的</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大</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买或</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数量</w:t>
            </w:r>
            <w:r>
              <w:rPr>
                <w:rFonts w:hint="eastAsia" w:ascii="宋体" w:hAnsi="宋体" w:eastAsia="宋体" w:cs="宋体"/>
                <w:color w:val="000000"/>
                <w:sz w:val="21"/>
                <w:szCs w:val="21"/>
                <w:lang w:eastAsia="zh-CN"/>
              </w:rPr>
              <w:t xml:space="preserve">  </w:t>
            </w:r>
          </w:p>
        </w:tc>
      </w:tr>
      <w:tr w14:paraId="6D8A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30D847B1">
            <w:pPr>
              <w:ind w:firstLine="112"/>
              <w:jc w:val="center"/>
              <w:rPr>
                <w:rFonts w:hint="eastAsia" w:ascii="宋体" w:hAnsi="宋体" w:eastAsia="宋体" w:cs="宋体"/>
                <w:color w:val="010302"/>
              </w:rPr>
            </w:pPr>
            <w:r>
              <w:rPr>
                <w:rFonts w:hint="eastAsia" w:ascii="宋体" w:hAnsi="宋体" w:eastAsia="宋体" w:cs="宋体"/>
                <w:color w:val="000000"/>
                <w:sz w:val="21"/>
                <w:szCs w:val="21"/>
              </w:rPr>
              <w:t>交易</w:t>
            </w:r>
            <w:r>
              <w:rPr>
                <w:rFonts w:hint="eastAsia" w:ascii="宋体" w:hAnsi="宋体" w:eastAsia="宋体" w:cs="宋体"/>
                <w:color w:val="000000"/>
                <w:spacing w:val="-2"/>
                <w:sz w:val="21"/>
                <w:szCs w:val="21"/>
              </w:rPr>
              <w:t>金额</w:t>
            </w:r>
          </w:p>
        </w:tc>
        <w:tc>
          <w:tcPr>
            <w:tcW w:w="6162" w:type="dxa"/>
          </w:tcPr>
          <w:p w14:paraId="2A76AFE6">
            <w:pPr>
              <w:rPr>
                <w:rFonts w:hint="eastAsia" w:ascii="宋体" w:hAnsi="宋体" w:eastAsia="宋体" w:cs="宋体"/>
                <w:color w:val="010302"/>
              </w:rPr>
            </w:pPr>
            <w:r>
              <w:rPr>
                <w:rFonts w:hint="eastAsia" w:ascii="宋体" w:hAnsi="宋体" w:eastAsia="宋体" w:cs="宋体"/>
                <w:color w:val="000000"/>
                <w:sz w:val="21"/>
                <w:szCs w:val="21"/>
              </w:rPr>
              <w:t>当前</w:t>
            </w:r>
            <w:r>
              <w:rPr>
                <w:rFonts w:hint="eastAsia" w:ascii="宋体" w:hAnsi="宋体" w:eastAsia="宋体" w:cs="宋体"/>
                <w:color w:val="000000"/>
                <w:spacing w:val="-2"/>
                <w:sz w:val="21"/>
                <w:szCs w:val="21"/>
              </w:rPr>
              <w:t>委</w:t>
            </w:r>
            <w:r>
              <w:rPr>
                <w:rFonts w:hint="eastAsia" w:ascii="宋体" w:hAnsi="宋体" w:eastAsia="宋体" w:cs="宋体"/>
                <w:color w:val="000000"/>
                <w:sz w:val="21"/>
                <w:szCs w:val="21"/>
              </w:rPr>
              <w:t>托</w:t>
            </w:r>
            <w:r>
              <w:rPr>
                <w:rFonts w:hint="eastAsia" w:ascii="宋体" w:hAnsi="宋体" w:eastAsia="宋体" w:cs="宋体"/>
                <w:color w:val="000000"/>
                <w:spacing w:val="-2"/>
                <w:sz w:val="21"/>
                <w:szCs w:val="21"/>
              </w:rPr>
              <w:t>的</w:t>
            </w:r>
            <w:r>
              <w:rPr>
                <w:rFonts w:hint="eastAsia" w:ascii="宋体" w:hAnsi="宋体" w:eastAsia="宋体" w:cs="宋体"/>
                <w:color w:val="000000"/>
                <w:sz w:val="21"/>
                <w:szCs w:val="21"/>
              </w:rPr>
              <w:t>涉</w:t>
            </w:r>
            <w:r>
              <w:rPr>
                <w:rFonts w:hint="eastAsia" w:ascii="宋体" w:hAnsi="宋体" w:eastAsia="宋体" w:cs="宋体"/>
                <w:color w:val="000000"/>
                <w:spacing w:val="-2"/>
                <w:sz w:val="21"/>
                <w:szCs w:val="21"/>
              </w:rPr>
              <w:t>及</w:t>
            </w:r>
            <w:r>
              <w:rPr>
                <w:rFonts w:hint="eastAsia" w:ascii="宋体" w:hAnsi="宋体" w:eastAsia="宋体" w:cs="宋体"/>
                <w:color w:val="000000"/>
                <w:sz w:val="21"/>
                <w:szCs w:val="21"/>
              </w:rPr>
              <w:t>金</w:t>
            </w:r>
            <w:r>
              <w:rPr>
                <w:rFonts w:hint="eastAsia" w:ascii="宋体" w:hAnsi="宋体" w:eastAsia="宋体" w:cs="宋体"/>
                <w:color w:val="000000"/>
                <w:spacing w:val="-2"/>
                <w:sz w:val="21"/>
                <w:szCs w:val="21"/>
              </w:rPr>
              <w:t>额</w:t>
            </w:r>
          </w:p>
        </w:tc>
      </w:tr>
    </w:tbl>
    <w:p w14:paraId="50E43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填写完下单面板各项信息后，点击“普通买入/卖出”按钮，按照填写的方向、委托价格和委托数量/金额下单委托。</w:t>
      </w:r>
    </w:p>
    <w:p w14:paraId="53DB93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锁定：通过单击资产账号、委托方向、委托价格右侧的锁定符“</w:t>
      </w:r>
      <w:r>
        <w:rPr>
          <w:rFonts w:hint="eastAsia" w:ascii="宋体" w:hAnsi="宋体" w:eastAsia="宋体" w:cs="宋体"/>
          <w:lang w:val="en-US" w:eastAsia="zh-CN"/>
        </w:rPr>
        <w:drawing>
          <wp:inline distT="0" distB="0" distL="114300" distR="114300">
            <wp:extent cx="228600" cy="255905"/>
            <wp:effectExtent l="0" t="0" r="0"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2"/>
                    <a:srcRect b="23238"/>
                    <a:stretch>
                      <a:fillRect/>
                    </a:stretch>
                  </pic:blipFill>
                  <pic:spPr>
                    <a:xfrm>
                      <a:off x="0" y="0"/>
                      <a:ext cx="228600" cy="255905"/>
                    </a:xfrm>
                    <a:prstGeom prst="rect">
                      <a:avLst/>
                    </a:prstGeom>
                    <a:noFill/>
                    <a:ln>
                      <a:noFill/>
                    </a:ln>
                  </pic:spPr>
                </pic:pic>
              </a:graphicData>
            </a:graphic>
          </wp:inline>
        </w:drawing>
      </w:r>
      <w:r>
        <w:rPr>
          <w:rFonts w:hint="eastAsia" w:ascii="宋体" w:hAnsi="宋体" w:eastAsia="宋体" w:cs="宋体"/>
          <w:lang w:val="en-US" w:eastAsia="zh-CN"/>
        </w:rPr>
        <w:t xml:space="preserve">”可对相应委托要素进行锁定。被锁定的要素不允许修改，若要修改需要再次点击锁定符进行解锁。  </w:t>
      </w:r>
    </w:p>
    <w:p w14:paraId="17A88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拆单逻辑：如果委托数量超过标的的单笔委托上限，系统会自动按照单位最大委托数量进行拆单。</w:t>
      </w:r>
    </w:p>
    <w:p w14:paraId="300D81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行情：输入证券代码时系统会根据当前输入的内容自动匹配符合条件的标的证券并显示在下拉列表中，下拉列表支持上下方向键快速选择并支持回车键确认，确定标的证券后系统会自动刷新委托面板左侧的行情信息。</w:t>
      </w:r>
    </w:p>
    <w:p w14:paraId="0450E19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w:t>
      </w:r>
    </w:p>
    <w:p w14:paraId="12CB57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持仓列表展示交易下单面板中选择的普通账户的持仓数据，支持按证券代码筛选及导出持仓数据。默认展示持仓明细，可切换展示持仓汇总。</w:t>
      </w:r>
    </w:p>
    <w:p w14:paraId="66D885F8">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4358005" cy="2844165"/>
            <wp:effectExtent l="0" t="0" r="3175" b="5715"/>
            <wp:docPr id="1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
                    <pic:cNvPicPr>
                      <a:picLocks noChangeAspect="1"/>
                    </pic:cNvPicPr>
                  </pic:nvPicPr>
                  <pic:blipFill>
                    <a:blip r:embed="rId23"/>
                    <a:stretch>
                      <a:fillRect/>
                    </a:stretch>
                  </pic:blipFill>
                  <pic:spPr>
                    <a:xfrm>
                      <a:off x="0" y="0"/>
                      <a:ext cx="4358005" cy="2844165"/>
                    </a:xfrm>
                    <a:prstGeom prst="rect">
                      <a:avLst/>
                    </a:prstGeom>
                    <a:noFill/>
                    <a:ln>
                      <a:noFill/>
                    </a:ln>
                  </pic:spPr>
                </pic:pic>
              </a:graphicData>
            </a:graphic>
          </wp:inline>
        </w:drawing>
      </w:r>
    </w:p>
    <w:p w14:paraId="715D45E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账户资产</w:t>
      </w:r>
    </w:p>
    <w:p w14:paraId="4133EE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账户资产列表展示交易下单面板中选择的普通账户的资产，支持导出资产明细。</w:t>
      </w:r>
    </w:p>
    <w:p w14:paraId="62E1D26A">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4483735" cy="2926715"/>
            <wp:effectExtent l="0" t="0" r="12065" b="6985"/>
            <wp:docPr id="1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
                    <pic:cNvPicPr>
                      <a:picLocks noChangeAspect="1"/>
                    </pic:cNvPicPr>
                  </pic:nvPicPr>
                  <pic:blipFill>
                    <a:blip r:embed="rId24"/>
                    <a:stretch>
                      <a:fillRect/>
                    </a:stretch>
                  </pic:blipFill>
                  <pic:spPr>
                    <a:xfrm>
                      <a:off x="0" y="0"/>
                      <a:ext cx="4483735" cy="2926715"/>
                    </a:xfrm>
                    <a:prstGeom prst="rect">
                      <a:avLst/>
                    </a:prstGeom>
                    <a:noFill/>
                    <a:ln>
                      <a:noFill/>
                    </a:ln>
                  </pic:spPr>
                </pic:pic>
              </a:graphicData>
            </a:graphic>
          </wp:inline>
        </w:drawing>
      </w:r>
    </w:p>
    <w:p w14:paraId="3AF42285">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w:t>
      </w:r>
    </w:p>
    <w:p w14:paraId="3378D0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支持查询当前用户关联的所有普通账户的委托明细，支持按证券代码、交易员、委托状态（全部、可撤、废单）筛选订单，支持对委托订单进行干预，废单原因可查看委托明细中的“备注”字段。</w:t>
      </w:r>
    </w:p>
    <w:p w14:paraId="020E39A4">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2880" cy="1113155"/>
            <wp:effectExtent l="0" t="0" r="13970" b="10795"/>
            <wp:docPr id="1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
                    <pic:cNvPicPr>
                      <a:picLocks noChangeAspect="1"/>
                    </pic:cNvPicPr>
                  </pic:nvPicPr>
                  <pic:blipFill>
                    <a:blip r:embed="rId25"/>
                    <a:stretch>
                      <a:fillRect/>
                    </a:stretch>
                  </pic:blipFill>
                  <pic:spPr>
                    <a:xfrm>
                      <a:off x="0" y="0"/>
                      <a:ext cx="5262880" cy="1113155"/>
                    </a:xfrm>
                    <a:prstGeom prst="rect">
                      <a:avLst/>
                    </a:prstGeom>
                    <a:noFill/>
                    <a:ln>
                      <a:noFill/>
                    </a:ln>
                  </pic:spPr>
                </pic:pic>
              </a:graphicData>
            </a:graphic>
          </wp:inline>
        </w:drawing>
      </w:r>
    </w:p>
    <w:p w14:paraId="14EC803B">
      <w:pPr>
        <w:numPr>
          <w:ilvl w:val="0"/>
          <w:numId w:val="0"/>
        </w:numPr>
        <w:ind w:leftChars="0"/>
        <w:jc w:val="left"/>
        <w:rPr>
          <w:rFonts w:hint="eastAsia" w:ascii="宋体" w:hAnsi="宋体" w:eastAsia="宋体" w:cs="宋体"/>
        </w:rPr>
      </w:pPr>
    </w:p>
    <w:p w14:paraId="301AF1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委托订单干预方式说明如下：</w:t>
      </w:r>
    </w:p>
    <w:p w14:paraId="566EB5CD">
      <w:pPr>
        <w:numPr>
          <w:ilvl w:val="0"/>
          <w:numId w:val="0"/>
        </w:numPr>
        <w:ind w:leftChars="0"/>
        <w:jc w:val="left"/>
        <w:rPr>
          <w:rFonts w:hint="eastAsia" w:ascii="宋体" w:hAnsi="宋体" w:eastAsia="宋体" w:cs="宋体"/>
          <w:color w:val="000000"/>
          <w:spacing w:val="-2"/>
          <w:sz w:val="21"/>
          <w:szCs w:val="21"/>
          <w:lang w:eastAsia="zh-CN"/>
        </w:rPr>
      </w:pPr>
    </w:p>
    <w:tbl>
      <w:tblPr>
        <w:tblStyle w:val="21"/>
        <w:tblpPr w:vertAnchor="text" w:horzAnchor="page" w:tblpX="1800" w:tblpY="-270"/>
        <w:tblOverlap w:val="never"/>
        <w:tblW w:w="8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83"/>
        <w:gridCol w:w="5828"/>
      </w:tblGrid>
      <w:tr w14:paraId="7E82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388" w:type="dxa"/>
          </w:tcPr>
          <w:p w14:paraId="4D2318EA">
            <w:pPr>
              <w:spacing w:before="6"/>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干预</w:t>
            </w:r>
            <w:r>
              <w:rPr>
                <w:rFonts w:hint="eastAsia" w:ascii="宋体" w:hAnsi="宋体" w:eastAsia="宋体" w:cs="宋体"/>
                <w:b/>
                <w:bCs/>
                <w:color w:val="000000"/>
                <w:spacing w:val="-2"/>
                <w:sz w:val="21"/>
                <w:szCs w:val="21"/>
              </w:rPr>
              <w:t>方式</w:t>
            </w:r>
          </w:p>
        </w:tc>
        <w:tc>
          <w:tcPr>
            <w:tcW w:w="5842" w:type="dxa"/>
          </w:tcPr>
          <w:p w14:paraId="44B102D2">
            <w:pPr>
              <w:spacing w:before="6"/>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操作</w:t>
            </w:r>
            <w:r>
              <w:rPr>
                <w:rFonts w:hint="eastAsia" w:ascii="宋体" w:hAnsi="宋体" w:eastAsia="宋体" w:cs="宋体"/>
                <w:b/>
                <w:bCs/>
                <w:color w:val="000000"/>
                <w:spacing w:val="-2"/>
                <w:sz w:val="21"/>
                <w:szCs w:val="21"/>
              </w:rPr>
              <w:t>说明</w:t>
            </w:r>
          </w:p>
        </w:tc>
      </w:tr>
      <w:tr w14:paraId="76FE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2388" w:type="dxa"/>
            <w:vAlign w:val="center"/>
          </w:tcPr>
          <w:p w14:paraId="09C6A543">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单</w:t>
            </w:r>
          </w:p>
        </w:tc>
        <w:tc>
          <w:tcPr>
            <w:tcW w:w="5842" w:type="dxa"/>
          </w:tcPr>
          <w:p w14:paraId="3799F657">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必须</w:t>
            </w:r>
            <w:r>
              <w:rPr>
                <w:rFonts w:hint="eastAsia" w:ascii="宋体" w:hAnsi="宋体" w:eastAsia="宋体" w:cs="宋体"/>
                <w:color w:val="000000"/>
                <w:spacing w:val="-2"/>
                <w:sz w:val="21"/>
                <w:szCs w:val="21"/>
                <w:lang w:eastAsia="zh-CN"/>
              </w:rPr>
              <w:t>勾</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后</w:t>
            </w:r>
            <w:r>
              <w:rPr>
                <w:rFonts w:hint="eastAsia" w:ascii="宋体" w:hAnsi="宋体" w:eastAsia="宋体" w:cs="宋体"/>
                <w:color w:val="000000"/>
                <w:sz w:val="21"/>
                <w:szCs w:val="21"/>
                <w:lang w:eastAsia="zh-CN"/>
              </w:rPr>
              <w:t>才</w:t>
            </w:r>
            <w:r>
              <w:rPr>
                <w:rFonts w:hint="eastAsia" w:ascii="宋体" w:hAnsi="宋体" w:eastAsia="宋体" w:cs="宋体"/>
                <w:color w:val="000000"/>
                <w:spacing w:val="-2"/>
                <w:sz w:val="21"/>
                <w:szCs w:val="21"/>
                <w:lang w:eastAsia="zh-CN"/>
              </w:rPr>
              <w:t>能</w:t>
            </w:r>
            <w:r>
              <w:rPr>
                <w:rFonts w:hint="eastAsia" w:ascii="宋体" w:hAnsi="宋体" w:eastAsia="宋体" w:cs="宋体"/>
                <w:color w:val="000000"/>
                <w:sz w:val="21"/>
                <w:szCs w:val="21"/>
                <w:lang w:eastAsia="zh-CN"/>
              </w:rPr>
              <w:t>进行</w:t>
            </w:r>
            <w:r>
              <w:rPr>
                <w:rFonts w:hint="eastAsia" w:ascii="宋体" w:hAnsi="宋体" w:eastAsia="宋体" w:cs="宋体"/>
                <w:color w:val="000000"/>
                <w:spacing w:val="-2"/>
                <w:sz w:val="21"/>
                <w:szCs w:val="21"/>
                <w:lang w:eastAsia="zh-CN"/>
              </w:rPr>
              <w:t>此</w:t>
            </w:r>
            <w:r>
              <w:rPr>
                <w:rFonts w:hint="eastAsia" w:ascii="宋体" w:hAnsi="宋体" w:eastAsia="宋体" w:cs="宋体"/>
                <w:color w:val="000000"/>
                <w:sz w:val="21"/>
                <w:szCs w:val="21"/>
                <w:lang w:eastAsia="zh-CN"/>
              </w:rPr>
              <w:t>操</w:t>
            </w:r>
            <w:r>
              <w:rPr>
                <w:rFonts w:hint="eastAsia" w:ascii="宋体" w:hAnsi="宋体" w:eastAsia="宋体" w:cs="宋体"/>
                <w:color w:val="000000"/>
                <w:spacing w:val="-2"/>
                <w:sz w:val="21"/>
                <w:szCs w:val="21"/>
                <w:lang w:eastAsia="zh-CN"/>
              </w:rPr>
              <w:t>作</w:t>
            </w:r>
            <w:r>
              <w:rPr>
                <w:rFonts w:hint="eastAsia" w:ascii="宋体" w:hAnsi="宋体" w:eastAsia="宋体" w:cs="宋体"/>
                <w:color w:val="000000"/>
                <w:spacing w:val="-45"/>
                <w:sz w:val="21"/>
                <w:szCs w:val="21"/>
                <w:lang w:eastAsia="zh-CN"/>
              </w:rPr>
              <w:t>，</w:t>
            </w:r>
            <w:r>
              <w:rPr>
                <w:rFonts w:hint="eastAsia" w:ascii="宋体" w:hAnsi="宋体" w:eastAsia="宋体" w:cs="宋体"/>
                <w:color w:val="000000"/>
                <w:spacing w:val="-2"/>
                <w:sz w:val="21"/>
                <w:szCs w:val="21"/>
                <w:lang w:eastAsia="zh-CN"/>
              </w:rPr>
              <w:t>对</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进行</w:t>
            </w:r>
            <w:r>
              <w:rPr>
                <w:rFonts w:hint="eastAsia" w:ascii="宋体" w:hAnsi="宋体" w:eastAsia="宋体" w:cs="宋体"/>
                <w:sz w:val="21"/>
                <w:szCs w:val="21"/>
                <w:lang w:eastAsia="zh-CN"/>
              </w:rPr>
              <w:t xml:space="preserve"> </w:t>
            </w:r>
          </w:p>
          <w:p w14:paraId="59298D3E">
            <w:pPr>
              <w:spacing w:before="30"/>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单</w:t>
            </w:r>
            <w:r>
              <w:rPr>
                <w:rFonts w:hint="eastAsia" w:ascii="宋体" w:hAnsi="宋体" w:eastAsia="宋体" w:cs="宋体"/>
                <w:color w:val="000000"/>
                <w:sz w:val="21"/>
                <w:szCs w:val="21"/>
              </w:rPr>
              <w:t xml:space="preserve">  </w:t>
            </w:r>
          </w:p>
        </w:tc>
      </w:tr>
      <w:tr w14:paraId="568C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2388" w:type="dxa"/>
            <w:vAlign w:val="center"/>
          </w:tcPr>
          <w:p w14:paraId="4C421440">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买</w:t>
            </w:r>
          </w:p>
        </w:tc>
        <w:tc>
          <w:tcPr>
            <w:tcW w:w="5842" w:type="dxa"/>
          </w:tcPr>
          <w:p w14:paraId="6C6EF12D">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的全</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买方</w:t>
            </w:r>
            <w:r>
              <w:rPr>
                <w:rFonts w:hint="eastAsia" w:ascii="宋体" w:hAnsi="宋体" w:eastAsia="宋体" w:cs="宋体"/>
                <w:sz w:val="21"/>
                <w:szCs w:val="21"/>
                <w:lang w:eastAsia="zh-CN"/>
              </w:rPr>
              <w:t xml:space="preserve"> </w:t>
            </w:r>
          </w:p>
          <w:p w14:paraId="2158D335">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向的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与订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无</w:t>
            </w:r>
            <w:r>
              <w:rPr>
                <w:rFonts w:hint="eastAsia" w:ascii="宋体" w:hAnsi="宋体" w:eastAsia="宋体" w:cs="宋体"/>
                <w:color w:val="000000"/>
                <w:spacing w:val="-2"/>
                <w:sz w:val="21"/>
                <w:szCs w:val="21"/>
                <w:lang w:eastAsia="zh-CN"/>
              </w:rPr>
              <w:t>关）</w:t>
            </w:r>
            <w:r>
              <w:rPr>
                <w:rFonts w:hint="eastAsia" w:ascii="宋体" w:hAnsi="宋体" w:eastAsia="宋体" w:cs="宋体"/>
                <w:color w:val="000000"/>
                <w:sz w:val="21"/>
                <w:szCs w:val="21"/>
                <w:lang w:eastAsia="zh-CN"/>
              </w:rPr>
              <w:t xml:space="preserve">  </w:t>
            </w:r>
          </w:p>
        </w:tc>
      </w:tr>
      <w:tr w14:paraId="36EE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trPr>
        <w:tc>
          <w:tcPr>
            <w:tcW w:w="2388" w:type="dxa"/>
            <w:vAlign w:val="center"/>
          </w:tcPr>
          <w:p w14:paraId="3D834DD1">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卖</w:t>
            </w:r>
          </w:p>
        </w:tc>
        <w:tc>
          <w:tcPr>
            <w:tcW w:w="5842" w:type="dxa"/>
          </w:tcPr>
          <w:p w14:paraId="7ABD563E">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的全</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卖方</w:t>
            </w:r>
            <w:r>
              <w:rPr>
                <w:rFonts w:hint="eastAsia" w:ascii="宋体" w:hAnsi="宋体" w:eastAsia="宋体" w:cs="宋体"/>
                <w:sz w:val="21"/>
                <w:szCs w:val="21"/>
                <w:lang w:eastAsia="zh-CN"/>
              </w:rPr>
              <w:t xml:space="preserve"> </w:t>
            </w:r>
          </w:p>
          <w:p w14:paraId="559278BA">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向的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与订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无</w:t>
            </w:r>
            <w:r>
              <w:rPr>
                <w:rFonts w:hint="eastAsia" w:ascii="宋体" w:hAnsi="宋体" w:eastAsia="宋体" w:cs="宋体"/>
                <w:color w:val="000000"/>
                <w:spacing w:val="-2"/>
                <w:sz w:val="21"/>
                <w:szCs w:val="21"/>
                <w:lang w:eastAsia="zh-CN"/>
              </w:rPr>
              <w:t>关）</w:t>
            </w:r>
            <w:r>
              <w:rPr>
                <w:rFonts w:hint="eastAsia" w:ascii="宋体" w:hAnsi="宋体" w:eastAsia="宋体" w:cs="宋体"/>
                <w:color w:val="000000"/>
                <w:sz w:val="21"/>
                <w:szCs w:val="21"/>
                <w:lang w:eastAsia="zh-CN"/>
              </w:rPr>
              <w:t xml:space="preserve">  </w:t>
            </w:r>
          </w:p>
        </w:tc>
      </w:tr>
      <w:tr w14:paraId="4FC6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2388" w:type="dxa"/>
            <w:vAlign w:val="center"/>
          </w:tcPr>
          <w:p w14:paraId="1C269903">
            <w:pPr>
              <w:spacing w:before="17"/>
              <w:ind w:firstLine="112"/>
              <w:jc w:val="center"/>
              <w:rPr>
                <w:rFonts w:hint="eastAsia" w:ascii="宋体" w:hAnsi="宋体" w:eastAsia="宋体" w:cs="宋体"/>
                <w:color w:val="010302"/>
              </w:rPr>
            </w:pPr>
            <w:r>
              <w:rPr>
                <w:rFonts w:hint="eastAsia" w:ascii="宋体" w:hAnsi="宋体" w:eastAsia="宋体" w:cs="宋体"/>
                <w:color w:val="000000"/>
                <w:sz w:val="21"/>
                <w:szCs w:val="21"/>
              </w:rPr>
              <w:t>全</w:t>
            </w:r>
            <w:r>
              <w:rPr>
                <w:rFonts w:hint="eastAsia" w:ascii="宋体" w:hAnsi="宋体" w:eastAsia="宋体" w:cs="宋体"/>
                <w:color w:val="000000"/>
                <w:spacing w:val="-2"/>
                <w:sz w:val="21"/>
                <w:szCs w:val="21"/>
              </w:rPr>
              <w:t>撤</w:t>
            </w:r>
          </w:p>
        </w:tc>
        <w:tc>
          <w:tcPr>
            <w:tcW w:w="5842" w:type="dxa"/>
          </w:tcPr>
          <w:p w14:paraId="578671D9">
            <w:pPr>
              <w:spacing w:before="17"/>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对符</w:t>
            </w:r>
            <w:r>
              <w:rPr>
                <w:rFonts w:hint="eastAsia" w:ascii="宋体" w:hAnsi="宋体" w:eastAsia="宋体" w:cs="宋体"/>
                <w:color w:val="000000"/>
                <w:spacing w:val="-2"/>
                <w:sz w:val="21"/>
                <w:szCs w:val="21"/>
                <w:lang w:eastAsia="zh-CN"/>
              </w:rPr>
              <w:t>合</w:t>
            </w:r>
            <w:r>
              <w:rPr>
                <w:rFonts w:hint="eastAsia" w:ascii="宋体" w:hAnsi="宋体" w:eastAsia="宋体" w:cs="宋体"/>
                <w:color w:val="000000"/>
                <w:sz w:val="21"/>
                <w:szCs w:val="21"/>
                <w:lang w:eastAsia="zh-CN"/>
              </w:rPr>
              <w:t>筛</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条</w:t>
            </w:r>
            <w:r>
              <w:rPr>
                <w:rFonts w:hint="eastAsia" w:ascii="宋体" w:hAnsi="宋体" w:eastAsia="宋体" w:cs="宋体"/>
                <w:color w:val="000000"/>
                <w:spacing w:val="-16"/>
                <w:sz w:val="21"/>
                <w:szCs w:val="21"/>
                <w:lang w:eastAsia="zh-CN"/>
              </w:rPr>
              <w:t>件</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资</w:t>
            </w:r>
            <w:r>
              <w:rPr>
                <w:rFonts w:hint="eastAsia" w:ascii="宋体" w:hAnsi="宋体" w:eastAsia="宋体" w:cs="宋体"/>
                <w:color w:val="000000"/>
                <w:spacing w:val="-2"/>
                <w:sz w:val="21"/>
                <w:szCs w:val="21"/>
                <w:lang w:eastAsia="zh-CN"/>
              </w:rPr>
              <w:t>产账</w:t>
            </w:r>
            <w:r>
              <w:rPr>
                <w:rFonts w:hint="eastAsia" w:ascii="宋体" w:hAnsi="宋体" w:eastAsia="宋体" w:cs="宋体"/>
                <w:color w:val="000000"/>
                <w:sz w:val="21"/>
                <w:szCs w:val="21"/>
                <w:lang w:eastAsia="zh-CN"/>
              </w:rPr>
              <w:t>号</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证</w:t>
            </w:r>
            <w:r>
              <w:rPr>
                <w:rFonts w:hint="eastAsia" w:ascii="宋体" w:hAnsi="宋体" w:eastAsia="宋体" w:cs="宋体"/>
                <w:color w:val="000000"/>
                <w:spacing w:val="-2"/>
                <w:sz w:val="21"/>
                <w:szCs w:val="21"/>
                <w:lang w:eastAsia="zh-CN"/>
              </w:rPr>
              <w:t>券</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和</w:t>
            </w:r>
            <w:r>
              <w:rPr>
                <w:rFonts w:hint="eastAsia" w:ascii="宋体" w:hAnsi="宋体" w:eastAsia="宋体" w:cs="宋体"/>
                <w:color w:val="000000"/>
                <w:spacing w:val="-2"/>
                <w:sz w:val="21"/>
                <w:szCs w:val="21"/>
                <w:lang w:eastAsia="zh-CN"/>
              </w:rPr>
              <w:t>交</w:t>
            </w:r>
            <w:r>
              <w:rPr>
                <w:rFonts w:hint="eastAsia" w:ascii="宋体" w:hAnsi="宋体" w:eastAsia="宋体" w:cs="宋体"/>
                <w:color w:val="000000"/>
                <w:sz w:val="21"/>
                <w:szCs w:val="21"/>
                <w:lang w:eastAsia="zh-CN"/>
              </w:rPr>
              <w:t>易</w:t>
            </w:r>
            <w:r>
              <w:rPr>
                <w:rFonts w:hint="eastAsia" w:ascii="宋体" w:hAnsi="宋体" w:eastAsia="宋体" w:cs="宋体"/>
                <w:color w:val="000000"/>
                <w:spacing w:val="-2"/>
                <w:sz w:val="21"/>
                <w:szCs w:val="21"/>
                <w:lang w:eastAsia="zh-CN"/>
              </w:rPr>
              <w:t>员</w:t>
            </w:r>
            <w:r>
              <w:rPr>
                <w:rFonts w:hint="eastAsia" w:ascii="宋体" w:hAnsi="宋体" w:eastAsia="宋体" w:cs="宋体"/>
                <w:color w:val="000000"/>
                <w:spacing w:val="-16"/>
                <w:sz w:val="21"/>
                <w:szCs w:val="21"/>
                <w:lang w:eastAsia="zh-CN"/>
              </w:rPr>
              <w:t>）</w:t>
            </w:r>
            <w:r>
              <w:rPr>
                <w:rFonts w:hint="eastAsia" w:ascii="宋体" w:hAnsi="宋体" w:eastAsia="宋体" w:cs="宋体"/>
                <w:color w:val="000000"/>
                <w:sz w:val="21"/>
                <w:szCs w:val="21"/>
                <w:lang w:eastAsia="zh-CN"/>
              </w:rPr>
              <w:t>全部</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sz w:val="21"/>
                <w:szCs w:val="21"/>
                <w:lang w:eastAsia="zh-CN"/>
              </w:rPr>
              <w:t xml:space="preserve"> </w:t>
            </w:r>
          </w:p>
          <w:p w14:paraId="4EC717E4">
            <w:pPr>
              <w:spacing w:before="31"/>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单进</w:t>
            </w:r>
            <w:r>
              <w:rPr>
                <w:rFonts w:hint="eastAsia" w:ascii="宋体" w:hAnsi="宋体" w:eastAsia="宋体" w:cs="宋体"/>
                <w:color w:val="000000"/>
                <w:spacing w:val="-2"/>
                <w:sz w:val="21"/>
                <w:szCs w:val="21"/>
                <w:lang w:eastAsia="zh-CN"/>
              </w:rPr>
              <w:t>行</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与</w:t>
            </w:r>
            <w:r>
              <w:rPr>
                <w:rFonts w:hint="eastAsia" w:ascii="宋体" w:hAnsi="宋体" w:eastAsia="宋体" w:cs="宋体"/>
                <w:color w:val="000000"/>
                <w:sz w:val="21"/>
                <w:szCs w:val="21"/>
                <w:lang w:eastAsia="zh-CN"/>
              </w:rPr>
              <w:t>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情况</w:t>
            </w:r>
            <w:r>
              <w:rPr>
                <w:rFonts w:hint="eastAsia" w:ascii="宋体" w:hAnsi="宋体" w:eastAsia="宋体" w:cs="宋体"/>
                <w:color w:val="000000"/>
                <w:spacing w:val="-2"/>
                <w:sz w:val="21"/>
                <w:szCs w:val="21"/>
                <w:lang w:eastAsia="zh-CN"/>
              </w:rPr>
              <w:t>无</w:t>
            </w:r>
            <w:r>
              <w:rPr>
                <w:rFonts w:hint="eastAsia" w:ascii="宋体" w:hAnsi="宋体" w:eastAsia="宋体" w:cs="宋体"/>
                <w:color w:val="000000"/>
                <w:sz w:val="21"/>
                <w:szCs w:val="21"/>
                <w:lang w:eastAsia="zh-CN"/>
              </w:rPr>
              <w:t>关</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 xml:space="preserve">  </w:t>
            </w:r>
          </w:p>
        </w:tc>
      </w:tr>
      <w:tr w14:paraId="0016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trPr>
        <w:tc>
          <w:tcPr>
            <w:tcW w:w="2388" w:type="dxa"/>
            <w:vAlign w:val="center"/>
          </w:tcPr>
          <w:p w14:paraId="64D45CD3">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撤</w:t>
            </w:r>
            <w:r>
              <w:rPr>
                <w:rFonts w:hint="eastAsia" w:ascii="宋体" w:hAnsi="宋体" w:eastAsia="宋体" w:cs="宋体"/>
                <w:color w:val="000000"/>
                <w:spacing w:val="-2"/>
                <w:sz w:val="21"/>
                <w:szCs w:val="21"/>
              </w:rPr>
              <w:t>补</w:t>
            </w:r>
          </w:p>
        </w:tc>
        <w:tc>
          <w:tcPr>
            <w:tcW w:w="5842" w:type="dxa"/>
          </w:tcPr>
          <w:p w14:paraId="384E258C">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必须</w:t>
            </w:r>
            <w:r>
              <w:rPr>
                <w:rFonts w:hint="eastAsia" w:ascii="宋体" w:hAnsi="宋体" w:eastAsia="宋体" w:cs="宋体"/>
                <w:color w:val="000000"/>
                <w:spacing w:val="-2"/>
                <w:sz w:val="21"/>
                <w:szCs w:val="21"/>
                <w:lang w:eastAsia="zh-CN"/>
              </w:rPr>
              <w:t>勾</w:t>
            </w:r>
            <w:r>
              <w:rPr>
                <w:rFonts w:hint="eastAsia" w:ascii="宋体" w:hAnsi="宋体" w:eastAsia="宋体" w:cs="宋体"/>
                <w:color w:val="000000"/>
                <w:sz w:val="21"/>
                <w:szCs w:val="21"/>
                <w:lang w:eastAsia="zh-CN"/>
              </w:rPr>
              <w:t>选</w:t>
            </w:r>
            <w:r>
              <w:rPr>
                <w:rFonts w:hint="eastAsia" w:ascii="宋体" w:hAnsi="宋体" w:eastAsia="宋体" w:cs="宋体"/>
                <w:color w:val="000000"/>
                <w:spacing w:val="-2"/>
                <w:sz w:val="21"/>
                <w:szCs w:val="21"/>
                <w:lang w:eastAsia="zh-CN"/>
              </w:rPr>
              <w:t>委</w:t>
            </w:r>
            <w:r>
              <w:rPr>
                <w:rFonts w:hint="eastAsia" w:ascii="宋体" w:hAnsi="宋体" w:eastAsia="宋体" w:cs="宋体"/>
                <w:color w:val="000000"/>
                <w:sz w:val="21"/>
                <w:szCs w:val="21"/>
                <w:lang w:eastAsia="zh-CN"/>
              </w:rPr>
              <w:t>托</w:t>
            </w:r>
            <w:r>
              <w:rPr>
                <w:rFonts w:hint="eastAsia" w:ascii="宋体" w:hAnsi="宋体" w:eastAsia="宋体" w:cs="宋体"/>
                <w:color w:val="000000"/>
                <w:spacing w:val="-2"/>
                <w:sz w:val="21"/>
                <w:szCs w:val="21"/>
                <w:lang w:eastAsia="zh-CN"/>
              </w:rPr>
              <w:t>订</w:t>
            </w:r>
            <w:r>
              <w:rPr>
                <w:rFonts w:hint="eastAsia" w:ascii="宋体" w:hAnsi="宋体" w:eastAsia="宋体" w:cs="宋体"/>
                <w:color w:val="000000"/>
                <w:sz w:val="21"/>
                <w:szCs w:val="21"/>
                <w:lang w:eastAsia="zh-CN"/>
              </w:rPr>
              <w:t>单</w:t>
            </w:r>
            <w:r>
              <w:rPr>
                <w:rFonts w:hint="eastAsia" w:ascii="宋体" w:hAnsi="宋体" w:eastAsia="宋体" w:cs="宋体"/>
                <w:color w:val="000000"/>
                <w:spacing w:val="-2"/>
                <w:sz w:val="21"/>
                <w:szCs w:val="21"/>
                <w:lang w:eastAsia="zh-CN"/>
              </w:rPr>
              <w:t>后</w:t>
            </w:r>
            <w:r>
              <w:rPr>
                <w:rFonts w:hint="eastAsia" w:ascii="宋体" w:hAnsi="宋体" w:eastAsia="宋体" w:cs="宋体"/>
                <w:color w:val="000000"/>
                <w:sz w:val="21"/>
                <w:szCs w:val="21"/>
                <w:lang w:eastAsia="zh-CN"/>
              </w:rPr>
              <w:t>才</w:t>
            </w:r>
            <w:r>
              <w:rPr>
                <w:rFonts w:hint="eastAsia" w:ascii="宋体" w:hAnsi="宋体" w:eastAsia="宋体" w:cs="宋体"/>
                <w:color w:val="000000"/>
                <w:spacing w:val="-2"/>
                <w:sz w:val="21"/>
                <w:szCs w:val="21"/>
                <w:lang w:eastAsia="zh-CN"/>
              </w:rPr>
              <w:t>能</w:t>
            </w:r>
            <w:r>
              <w:rPr>
                <w:rFonts w:hint="eastAsia" w:ascii="宋体" w:hAnsi="宋体" w:eastAsia="宋体" w:cs="宋体"/>
                <w:color w:val="000000"/>
                <w:sz w:val="21"/>
                <w:szCs w:val="21"/>
                <w:lang w:eastAsia="zh-CN"/>
              </w:rPr>
              <w:t>进行</w:t>
            </w:r>
            <w:r>
              <w:rPr>
                <w:rFonts w:hint="eastAsia" w:ascii="宋体" w:hAnsi="宋体" w:eastAsia="宋体" w:cs="宋体"/>
                <w:color w:val="000000"/>
                <w:spacing w:val="-2"/>
                <w:sz w:val="21"/>
                <w:szCs w:val="21"/>
                <w:lang w:eastAsia="zh-CN"/>
              </w:rPr>
              <w:t>此</w:t>
            </w:r>
            <w:r>
              <w:rPr>
                <w:rFonts w:hint="eastAsia" w:ascii="宋体" w:hAnsi="宋体" w:eastAsia="宋体" w:cs="宋体"/>
                <w:color w:val="000000"/>
                <w:sz w:val="21"/>
                <w:szCs w:val="21"/>
                <w:lang w:eastAsia="zh-CN"/>
              </w:rPr>
              <w:t>操</w:t>
            </w:r>
            <w:r>
              <w:rPr>
                <w:rFonts w:hint="eastAsia" w:ascii="宋体" w:hAnsi="宋体" w:eastAsia="宋体" w:cs="宋体"/>
                <w:color w:val="000000"/>
                <w:spacing w:val="-2"/>
                <w:sz w:val="21"/>
                <w:szCs w:val="21"/>
                <w:lang w:eastAsia="zh-CN"/>
              </w:rPr>
              <w:t>作</w:t>
            </w:r>
            <w:r>
              <w:rPr>
                <w:rFonts w:hint="eastAsia" w:ascii="宋体" w:hAnsi="宋体" w:eastAsia="宋体" w:cs="宋体"/>
                <w:color w:val="000000"/>
                <w:spacing w:val="-45"/>
                <w:sz w:val="21"/>
                <w:szCs w:val="21"/>
                <w:lang w:eastAsia="zh-CN"/>
              </w:rPr>
              <w:t>，</w:t>
            </w:r>
            <w:r>
              <w:rPr>
                <w:rFonts w:hint="eastAsia" w:ascii="宋体" w:hAnsi="宋体" w:eastAsia="宋体" w:cs="宋体"/>
                <w:color w:val="000000"/>
                <w:spacing w:val="-2"/>
                <w:sz w:val="21"/>
                <w:szCs w:val="21"/>
                <w:lang w:eastAsia="zh-CN"/>
              </w:rPr>
              <w:t>对</w:t>
            </w:r>
            <w:r>
              <w:rPr>
                <w:rFonts w:hint="eastAsia" w:ascii="宋体" w:hAnsi="宋体" w:eastAsia="宋体" w:cs="宋体"/>
                <w:color w:val="000000"/>
                <w:sz w:val="21"/>
                <w:szCs w:val="21"/>
                <w:lang w:eastAsia="zh-CN"/>
              </w:rPr>
              <w:t>勾</w:t>
            </w:r>
            <w:r>
              <w:rPr>
                <w:rFonts w:hint="eastAsia" w:ascii="宋体" w:hAnsi="宋体" w:eastAsia="宋体" w:cs="宋体"/>
                <w:color w:val="000000"/>
                <w:spacing w:val="-2"/>
                <w:sz w:val="21"/>
                <w:szCs w:val="21"/>
                <w:lang w:eastAsia="zh-CN"/>
              </w:rPr>
              <w:t>选</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可</w:t>
            </w:r>
            <w:r>
              <w:rPr>
                <w:rFonts w:hint="eastAsia" w:ascii="宋体" w:hAnsi="宋体" w:eastAsia="宋体" w:cs="宋体"/>
                <w:color w:val="000000"/>
                <w:sz w:val="21"/>
                <w:szCs w:val="21"/>
                <w:lang w:eastAsia="zh-CN"/>
              </w:rPr>
              <w:t>撤订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部分（已</w:t>
            </w:r>
            <w:r>
              <w:rPr>
                <w:rFonts w:hint="eastAsia" w:ascii="宋体" w:hAnsi="宋体" w:eastAsia="宋体" w:cs="宋体"/>
                <w:color w:val="000000"/>
                <w:spacing w:val="-2"/>
                <w:sz w:val="21"/>
                <w:szCs w:val="21"/>
                <w:lang w:eastAsia="zh-CN"/>
              </w:rPr>
              <w:t>报</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成</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则</w:t>
            </w:r>
            <w:r>
              <w:rPr>
                <w:rFonts w:hint="eastAsia" w:ascii="宋体" w:hAnsi="宋体" w:eastAsia="宋体" w:cs="宋体"/>
                <w:color w:val="000000"/>
                <w:spacing w:val="-2"/>
                <w:sz w:val="21"/>
                <w:szCs w:val="21"/>
                <w:lang w:eastAsia="zh-CN"/>
              </w:rPr>
              <w:t>先撤</w:t>
            </w:r>
            <w:r>
              <w:rPr>
                <w:rFonts w:hint="eastAsia" w:ascii="宋体" w:hAnsi="宋体" w:eastAsia="宋体" w:cs="宋体"/>
                <w:color w:val="000000"/>
                <w:sz w:val="21"/>
                <w:szCs w:val="21"/>
                <w:lang w:eastAsia="zh-CN"/>
              </w:rPr>
              <w:t>单成</w:t>
            </w:r>
            <w:r>
              <w:rPr>
                <w:rFonts w:hint="eastAsia" w:ascii="宋体" w:hAnsi="宋体" w:eastAsia="宋体" w:cs="宋体"/>
                <w:color w:val="000000"/>
                <w:spacing w:val="-2"/>
                <w:sz w:val="21"/>
                <w:szCs w:val="21"/>
                <w:lang w:eastAsia="zh-CN"/>
              </w:rPr>
              <w:t>功</w:t>
            </w:r>
            <w:r>
              <w:rPr>
                <w:rFonts w:hint="eastAsia" w:ascii="宋体" w:hAnsi="宋体" w:eastAsia="宋体" w:cs="宋体"/>
                <w:color w:val="000000"/>
                <w:sz w:val="21"/>
                <w:szCs w:val="21"/>
                <w:lang w:eastAsia="zh-CN"/>
              </w:rPr>
              <w:t>后</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再</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照</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补</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补单</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对勾选的</w:t>
            </w:r>
            <w:r>
              <w:rPr>
                <w:rFonts w:hint="eastAsia" w:ascii="宋体" w:hAnsi="宋体" w:eastAsia="宋体" w:cs="宋体"/>
                <w:color w:val="000000"/>
                <w:spacing w:val="-2"/>
                <w:sz w:val="21"/>
                <w:szCs w:val="21"/>
                <w:lang w:eastAsia="zh-CN"/>
              </w:rPr>
              <w:t>非</w:t>
            </w:r>
            <w:r>
              <w:rPr>
                <w:rFonts w:hint="eastAsia" w:ascii="宋体" w:hAnsi="宋体" w:eastAsia="宋体" w:cs="宋体"/>
                <w:color w:val="000000"/>
                <w:sz w:val="21"/>
                <w:szCs w:val="21"/>
                <w:lang w:eastAsia="zh-CN"/>
              </w:rPr>
              <w:t>可</w:t>
            </w:r>
            <w:r>
              <w:rPr>
                <w:rFonts w:hint="eastAsia" w:ascii="宋体" w:hAnsi="宋体" w:eastAsia="宋体" w:cs="宋体"/>
                <w:color w:val="000000"/>
                <w:spacing w:val="-2"/>
                <w:sz w:val="21"/>
                <w:szCs w:val="21"/>
                <w:lang w:eastAsia="zh-CN"/>
              </w:rPr>
              <w:t>撤</w:t>
            </w:r>
            <w:r>
              <w:rPr>
                <w:rFonts w:hint="eastAsia" w:ascii="宋体" w:hAnsi="宋体" w:eastAsia="宋体" w:cs="宋体"/>
                <w:color w:val="000000"/>
                <w:sz w:val="21"/>
                <w:szCs w:val="21"/>
                <w:lang w:eastAsia="zh-CN"/>
              </w:rPr>
              <w:t>订</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部</w:t>
            </w:r>
            <w:r>
              <w:rPr>
                <w:rFonts w:hint="eastAsia" w:ascii="宋体" w:hAnsi="宋体" w:eastAsia="宋体" w:cs="宋体"/>
                <w:color w:val="000000"/>
                <w:spacing w:val="-12"/>
                <w:sz w:val="21"/>
                <w:szCs w:val="21"/>
                <w:lang w:eastAsia="zh-CN"/>
              </w:rPr>
              <w:t>分</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已</w:t>
            </w:r>
            <w:r>
              <w:rPr>
                <w:rFonts w:hint="eastAsia" w:ascii="宋体" w:hAnsi="宋体" w:eastAsia="宋体" w:cs="宋体"/>
                <w:color w:val="000000"/>
                <w:sz w:val="21"/>
                <w:szCs w:val="21"/>
                <w:lang w:eastAsia="zh-CN"/>
              </w:rPr>
              <w:t>撤</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部</w:t>
            </w:r>
            <w:r>
              <w:rPr>
                <w:rFonts w:hint="eastAsia" w:ascii="宋体" w:hAnsi="宋体" w:eastAsia="宋体" w:cs="宋体"/>
                <w:color w:val="000000"/>
                <w:sz w:val="21"/>
                <w:szCs w:val="21"/>
                <w:lang w:eastAsia="zh-CN"/>
              </w:rPr>
              <w:t>撤</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2"/>
                <w:sz w:val="21"/>
                <w:szCs w:val="21"/>
                <w:lang w:eastAsia="zh-CN"/>
              </w:rPr>
              <w:t>废</w:t>
            </w:r>
            <w:r>
              <w:rPr>
                <w:rFonts w:hint="eastAsia" w:ascii="宋体" w:hAnsi="宋体" w:eastAsia="宋体" w:cs="宋体"/>
                <w:color w:val="000000"/>
                <w:sz w:val="21"/>
                <w:szCs w:val="21"/>
                <w:lang w:eastAsia="zh-CN"/>
              </w:rPr>
              <w:t>单</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12"/>
                <w:sz w:val="21"/>
                <w:szCs w:val="21"/>
                <w:lang w:eastAsia="zh-CN"/>
              </w:rPr>
              <w:t>，</w:t>
            </w:r>
            <w:r>
              <w:rPr>
                <w:rFonts w:hint="eastAsia" w:ascii="宋体" w:hAnsi="宋体" w:eastAsia="宋体" w:cs="宋体"/>
                <w:color w:val="000000"/>
                <w:sz w:val="21"/>
                <w:szCs w:val="21"/>
                <w:lang w:eastAsia="zh-CN"/>
              </w:rPr>
              <w:t>则</w:t>
            </w:r>
            <w:r>
              <w:rPr>
                <w:rFonts w:hint="eastAsia" w:ascii="宋体" w:hAnsi="宋体" w:eastAsia="宋体" w:cs="宋体"/>
                <w:color w:val="000000"/>
                <w:spacing w:val="-2"/>
                <w:sz w:val="21"/>
                <w:szCs w:val="21"/>
                <w:lang w:eastAsia="zh-CN"/>
              </w:rPr>
              <w:t>直</w:t>
            </w:r>
            <w:r>
              <w:rPr>
                <w:rFonts w:hint="eastAsia" w:ascii="宋体" w:hAnsi="宋体" w:eastAsia="宋体" w:cs="宋体"/>
                <w:color w:val="000000"/>
                <w:sz w:val="21"/>
                <w:szCs w:val="21"/>
                <w:lang w:eastAsia="zh-CN"/>
              </w:rPr>
              <w:t>接按</w:t>
            </w:r>
            <w:r>
              <w:rPr>
                <w:rFonts w:hint="eastAsia" w:ascii="宋体" w:hAnsi="宋体" w:eastAsia="宋体" w:cs="宋体"/>
                <w:color w:val="000000"/>
                <w:spacing w:val="-2"/>
                <w:sz w:val="21"/>
                <w:szCs w:val="21"/>
                <w:lang w:eastAsia="zh-CN"/>
              </w:rPr>
              <w:t>照</w:t>
            </w:r>
            <w:r>
              <w:rPr>
                <w:rFonts w:hint="eastAsia" w:ascii="宋体" w:hAnsi="宋体" w:eastAsia="宋体" w:cs="宋体"/>
                <w:color w:val="000000"/>
                <w:sz w:val="21"/>
                <w:szCs w:val="21"/>
                <w:lang w:eastAsia="zh-CN"/>
              </w:rPr>
              <w:t>订单的未</w:t>
            </w:r>
            <w:r>
              <w:rPr>
                <w:rFonts w:hint="eastAsia" w:ascii="宋体" w:hAnsi="宋体" w:eastAsia="宋体" w:cs="宋体"/>
                <w:color w:val="000000"/>
                <w:spacing w:val="-2"/>
                <w:sz w:val="21"/>
                <w:szCs w:val="21"/>
                <w:lang w:eastAsia="zh-CN"/>
              </w:rPr>
              <w:t>完</w:t>
            </w:r>
            <w:r>
              <w:rPr>
                <w:rFonts w:hint="eastAsia" w:ascii="宋体" w:hAnsi="宋体" w:eastAsia="宋体" w:cs="宋体"/>
                <w:color w:val="000000"/>
                <w:sz w:val="21"/>
                <w:szCs w:val="21"/>
                <w:lang w:eastAsia="zh-CN"/>
              </w:rPr>
              <w:t>成</w:t>
            </w:r>
            <w:r>
              <w:rPr>
                <w:rFonts w:hint="eastAsia" w:ascii="宋体" w:hAnsi="宋体" w:eastAsia="宋体" w:cs="宋体"/>
                <w:color w:val="000000"/>
                <w:spacing w:val="-2"/>
                <w:sz w:val="21"/>
                <w:szCs w:val="21"/>
                <w:lang w:eastAsia="zh-CN"/>
              </w:rPr>
              <w:t>数</w:t>
            </w:r>
            <w:r>
              <w:rPr>
                <w:rFonts w:hint="eastAsia" w:ascii="宋体" w:hAnsi="宋体" w:eastAsia="宋体" w:cs="宋体"/>
                <w:color w:val="000000"/>
                <w:sz w:val="21"/>
                <w:szCs w:val="21"/>
                <w:lang w:eastAsia="zh-CN"/>
              </w:rPr>
              <w:t>量</w:t>
            </w:r>
            <w:r>
              <w:rPr>
                <w:rFonts w:hint="eastAsia" w:ascii="宋体" w:hAnsi="宋体" w:eastAsia="宋体" w:cs="宋体"/>
                <w:color w:val="000000"/>
                <w:spacing w:val="-2"/>
                <w:sz w:val="21"/>
                <w:szCs w:val="21"/>
                <w:lang w:eastAsia="zh-CN"/>
              </w:rPr>
              <w:t>及</w:t>
            </w:r>
            <w:r>
              <w:rPr>
                <w:rFonts w:hint="eastAsia" w:ascii="宋体" w:hAnsi="宋体" w:eastAsia="宋体" w:cs="宋体"/>
                <w:color w:val="000000"/>
                <w:sz w:val="21"/>
                <w:szCs w:val="21"/>
                <w:lang w:eastAsia="zh-CN"/>
              </w:rPr>
              <w:t>撤</w:t>
            </w:r>
            <w:r>
              <w:rPr>
                <w:rFonts w:hint="eastAsia" w:ascii="宋体" w:hAnsi="宋体" w:eastAsia="宋体" w:cs="宋体"/>
                <w:color w:val="000000"/>
                <w:spacing w:val="-2"/>
                <w:sz w:val="21"/>
                <w:szCs w:val="21"/>
                <w:lang w:eastAsia="zh-CN"/>
              </w:rPr>
              <w:t>补</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进</w:t>
            </w:r>
            <w:r>
              <w:rPr>
                <w:rFonts w:hint="eastAsia" w:ascii="宋体" w:hAnsi="宋体" w:eastAsia="宋体" w:cs="宋体"/>
                <w:color w:val="000000"/>
                <w:sz w:val="21"/>
                <w:szCs w:val="21"/>
                <w:lang w:eastAsia="zh-CN"/>
              </w:rPr>
              <w:t>行补</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 xml:space="preserve">  </w:t>
            </w:r>
          </w:p>
        </w:tc>
      </w:tr>
      <w:tr w14:paraId="16EC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388" w:type="dxa"/>
            <w:vAlign w:val="center"/>
          </w:tcPr>
          <w:p w14:paraId="280BB3D6">
            <w:pPr>
              <w:spacing w:line="312" w:lineRule="exact"/>
              <w:ind w:firstLine="112"/>
              <w:jc w:val="center"/>
              <w:rPr>
                <w:rFonts w:hint="eastAsia" w:ascii="宋体" w:hAnsi="宋体" w:eastAsia="宋体" w:cs="宋体"/>
                <w:color w:val="010302"/>
              </w:rPr>
            </w:pPr>
            <w:r>
              <w:rPr>
                <w:rFonts w:hint="eastAsia" w:ascii="宋体" w:hAnsi="宋体" w:eastAsia="宋体" w:cs="宋体"/>
                <w:color w:val="000000"/>
                <w:sz w:val="21"/>
                <w:szCs w:val="21"/>
              </w:rPr>
              <w:t>撤补</w:t>
            </w:r>
            <w:r>
              <w:rPr>
                <w:rFonts w:hint="eastAsia" w:ascii="宋体" w:hAnsi="宋体" w:eastAsia="宋体" w:cs="宋体"/>
                <w:color w:val="000000"/>
                <w:spacing w:val="-2"/>
                <w:sz w:val="21"/>
                <w:szCs w:val="21"/>
              </w:rPr>
              <w:t>价</w:t>
            </w:r>
          </w:p>
        </w:tc>
        <w:tc>
          <w:tcPr>
            <w:tcW w:w="5842" w:type="dxa"/>
          </w:tcPr>
          <w:p w14:paraId="36AE0966">
            <w:pPr>
              <w:spacing w:line="312" w:lineRule="exact"/>
              <w:ind w:right="2238"/>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对手</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默</w:t>
            </w:r>
            <w:r>
              <w:rPr>
                <w:rFonts w:hint="eastAsia" w:ascii="宋体" w:hAnsi="宋体" w:eastAsia="宋体" w:cs="宋体"/>
                <w:color w:val="000000"/>
                <w:sz w:val="21"/>
                <w:szCs w:val="21"/>
                <w:lang w:eastAsia="zh-CN"/>
              </w:rPr>
              <w:t>认</w:t>
            </w:r>
            <w:r>
              <w:rPr>
                <w:rFonts w:hint="eastAsia" w:ascii="宋体" w:hAnsi="宋体" w:eastAsia="宋体" w:cs="宋体"/>
                <w:color w:val="000000"/>
                <w:spacing w:val="-2"/>
                <w:sz w:val="21"/>
                <w:szCs w:val="21"/>
                <w:lang w:eastAsia="zh-CN"/>
              </w:rPr>
              <w:t>值</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指</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是</w:t>
            </w:r>
            <w:r>
              <w:rPr>
                <w:rFonts w:hint="eastAsia" w:ascii="宋体" w:hAnsi="宋体" w:eastAsia="宋体" w:cs="宋体"/>
                <w:color w:val="000000"/>
                <w:sz w:val="21"/>
                <w:szCs w:val="21"/>
                <w:lang w:eastAsia="zh-CN"/>
              </w:rPr>
              <w:t>对手</w:t>
            </w:r>
            <w:r>
              <w:rPr>
                <w:rFonts w:hint="eastAsia" w:ascii="宋体" w:hAnsi="宋体" w:eastAsia="宋体" w:cs="宋体"/>
                <w:color w:val="000000"/>
                <w:spacing w:val="-2"/>
                <w:sz w:val="21"/>
                <w:szCs w:val="21"/>
                <w:lang w:eastAsia="zh-CN"/>
              </w:rPr>
              <w:t>方</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 xml:space="preserve">  </w:t>
            </w:r>
          </w:p>
          <w:p w14:paraId="321D23C4">
            <w:pPr>
              <w:spacing w:line="312" w:lineRule="exact"/>
              <w:ind w:right="2238"/>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挂单</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指</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是</w:t>
            </w:r>
            <w:r>
              <w:rPr>
                <w:rFonts w:hint="eastAsia" w:ascii="宋体" w:hAnsi="宋体" w:eastAsia="宋体" w:cs="宋体"/>
                <w:color w:val="000000"/>
                <w:sz w:val="21"/>
                <w:szCs w:val="21"/>
                <w:lang w:eastAsia="zh-CN"/>
              </w:rPr>
              <w:t>本</w:t>
            </w:r>
            <w:r>
              <w:rPr>
                <w:rFonts w:hint="eastAsia" w:ascii="宋体" w:hAnsi="宋体" w:eastAsia="宋体" w:cs="宋体"/>
                <w:color w:val="000000"/>
                <w:spacing w:val="-2"/>
                <w:sz w:val="21"/>
                <w:szCs w:val="21"/>
                <w:lang w:eastAsia="zh-CN"/>
              </w:rPr>
              <w:t>方</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 xml:space="preserve">  </w:t>
            </w:r>
          </w:p>
          <w:p w14:paraId="122D59BA">
            <w:pPr>
              <w:spacing w:before="14" w:line="312" w:lineRule="exact"/>
              <w:ind w:right="-25"/>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最新</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行</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中</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最</w:t>
            </w:r>
            <w:r>
              <w:rPr>
                <w:rFonts w:hint="eastAsia" w:ascii="宋体" w:hAnsi="宋体" w:eastAsia="宋体" w:cs="宋体"/>
                <w:color w:val="000000"/>
                <w:sz w:val="21"/>
                <w:szCs w:val="21"/>
                <w:lang w:eastAsia="zh-CN"/>
              </w:rPr>
              <w:t>新</w:t>
            </w:r>
            <w:r>
              <w:rPr>
                <w:rFonts w:hint="eastAsia" w:ascii="宋体" w:hAnsi="宋体" w:eastAsia="宋体" w:cs="宋体"/>
                <w:color w:val="000000"/>
                <w:spacing w:val="-2"/>
                <w:sz w:val="21"/>
                <w:szCs w:val="21"/>
                <w:lang w:eastAsia="zh-CN"/>
              </w:rPr>
              <w:t>成</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 xml:space="preserve">  </w:t>
            </w:r>
          </w:p>
          <w:p w14:paraId="1F3F4DAF">
            <w:pPr>
              <w:spacing w:before="14" w:line="312" w:lineRule="exact"/>
              <w:ind w:right="-25"/>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买/</w:t>
            </w:r>
            <w:r>
              <w:rPr>
                <w:rFonts w:hint="eastAsia" w:ascii="宋体" w:hAnsi="宋体" w:eastAsia="宋体" w:cs="宋体"/>
                <w:color w:val="000000"/>
                <w:spacing w:val="-2"/>
                <w:sz w:val="21"/>
                <w:szCs w:val="21"/>
                <w:lang w:eastAsia="zh-CN"/>
              </w:rPr>
              <w:t>卖</w:t>
            </w:r>
            <w:r>
              <w:rPr>
                <w:rFonts w:hint="eastAsia" w:ascii="宋体" w:hAnsi="宋体" w:eastAsia="宋体" w:cs="宋体"/>
                <w:color w:val="000000"/>
                <w:sz w:val="21"/>
                <w:szCs w:val="21"/>
                <w:lang w:eastAsia="zh-CN"/>
              </w:rPr>
              <w:t>一</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到买</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五</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行情</w:t>
            </w:r>
            <w:r>
              <w:rPr>
                <w:rFonts w:hint="eastAsia" w:ascii="宋体" w:hAnsi="宋体" w:eastAsia="宋体" w:cs="宋体"/>
                <w:color w:val="000000"/>
                <w:spacing w:val="-2"/>
                <w:sz w:val="21"/>
                <w:szCs w:val="21"/>
                <w:lang w:eastAsia="zh-CN"/>
              </w:rPr>
              <w:t>中</w:t>
            </w:r>
            <w:r>
              <w:rPr>
                <w:rFonts w:hint="eastAsia" w:ascii="宋体" w:hAnsi="宋体" w:eastAsia="宋体" w:cs="宋体"/>
                <w:color w:val="000000"/>
                <w:sz w:val="21"/>
                <w:szCs w:val="21"/>
                <w:lang w:eastAsia="zh-CN"/>
              </w:rPr>
              <w:t>的</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w:t>
            </w:r>
            <w:r>
              <w:rPr>
                <w:rFonts w:hint="eastAsia" w:ascii="宋体" w:hAnsi="宋体" w:eastAsia="宋体" w:cs="宋体"/>
                <w:color w:val="000000"/>
                <w:spacing w:val="50"/>
                <w:sz w:val="21"/>
                <w:szCs w:val="21"/>
                <w:lang w:eastAsia="zh-CN"/>
              </w:rPr>
              <w:t>卖</w:t>
            </w:r>
            <w:r>
              <w:rPr>
                <w:rFonts w:hint="eastAsia" w:ascii="宋体" w:hAnsi="宋体" w:eastAsia="宋体" w:cs="宋体"/>
                <w:color w:val="000000"/>
                <w:spacing w:val="50"/>
                <w:sz w:val="21"/>
                <w:szCs w:val="21"/>
                <w:lang w:val="en-US" w:eastAsia="zh-CN"/>
              </w:rPr>
              <w:t>5</w:t>
            </w:r>
            <w:r>
              <w:rPr>
                <w:rFonts w:hint="eastAsia" w:ascii="宋体" w:hAnsi="宋体" w:eastAsia="宋体" w:cs="宋体"/>
                <w:color w:val="000000"/>
                <w:sz w:val="21"/>
                <w:szCs w:val="21"/>
                <w:lang w:eastAsia="zh-CN"/>
              </w:rPr>
              <w:t>档</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口</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 xml:space="preserve">  </w:t>
            </w:r>
          </w:p>
          <w:p w14:paraId="00FF2315">
            <w:pPr>
              <w:spacing w:before="14" w:line="312" w:lineRule="exact"/>
              <w:ind w:right="-25"/>
              <w:rPr>
                <w:rFonts w:hint="eastAsia" w:ascii="宋体" w:hAnsi="宋体" w:eastAsia="宋体" w:cs="宋体"/>
                <w:color w:val="010302"/>
                <w:lang w:eastAsia="zh-CN"/>
              </w:rPr>
            </w:pPr>
            <w:r>
              <w:rPr>
                <w:rFonts w:hint="eastAsia" w:ascii="宋体" w:hAnsi="宋体" w:eastAsia="宋体" w:cs="宋体"/>
                <w:color w:val="000000"/>
                <w:sz w:val="21"/>
                <w:szCs w:val="21"/>
                <w:lang w:eastAsia="zh-CN"/>
              </w:rPr>
              <w:t>自动</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口</w:t>
            </w:r>
            <w:r>
              <w:rPr>
                <w:rFonts w:hint="eastAsia" w:ascii="宋体" w:hAnsi="宋体" w:eastAsia="宋体" w:cs="宋体"/>
                <w:color w:val="000000"/>
                <w:spacing w:val="-26"/>
                <w:sz w:val="21"/>
                <w:szCs w:val="21"/>
                <w:lang w:eastAsia="zh-CN"/>
              </w:rPr>
              <w:t>：</w:t>
            </w:r>
            <w:r>
              <w:rPr>
                <w:rFonts w:hint="eastAsia" w:ascii="宋体" w:hAnsi="宋体" w:eastAsia="宋体" w:cs="宋体"/>
                <w:color w:val="000000"/>
                <w:sz w:val="21"/>
                <w:szCs w:val="21"/>
                <w:lang w:eastAsia="zh-CN"/>
              </w:rPr>
              <w:t>根</w:t>
            </w:r>
            <w:r>
              <w:rPr>
                <w:rFonts w:hint="eastAsia" w:ascii="宋体" w:hAnsi="宋体" w:eastAsia="宋体" w:cs="宋体"/>
                <w:color w:val="000000"/>
                <w:spacing w:val="-2"/>
                <w:sz w:val="21"/>
                <w:szCs w:val="21"/>
                <w:lang w:eastAsia="zh-CN"/>
              </w:rPr>
              <w:t>据</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pacing w:val="-24"/>
                <w:sz w:val="21"/>
                <w:szCs w:val="21"/>
                <w:lang w:eastAsia="zh-CN"/>
              </w:rPr>
              <w:t>、</w:t>
            </w:r>
            <w:r>
              <w:rPr>
                <w:rFonts w:hint="eastAsia" w:ascii="宋体" w:hAnsi="宋体" w:eastAsia="宋体" w:cs="宋体"/>
                <w:color w:val="000000"/>
                <w:sz w:val="21"/>
                <w:szCs w:val="21"/>
                <w:lang w:eastAsia="zh-CN"/>
              </w:rPr>
              <w:t>买</w:t>
            </w:r>
            <w:r>
              <w:rPr>
                <w:rFonts w:hint="eastAsia" w:ascii="宋体" w:hAnsi="宋体" w:eastAsia="宋体" w:cs="宋体"/>
                <w:color w:val="000000"/>
                <w:spacing w:val="-2"/>
                <w:sz w:val="21"/>
                <w:szCs w:val="21"/>
                <w:lang w:eastAsia="zh-CN"/>
              </w:rPr>
              <w:t>卖</w:t>
            </w:r>
            <w:r>
              <w:rPr>
                <w:rFonts w:hint="eastAsia" w:ascii="宋体" w:hAnsi="宋体" w:eastAsia="宋体" w:cs="宋体"/>
                <w:color w:val="000000"/>
                <w:sz w:val="21"/>
                <w:szCs w:val="21"/>
                <w:lang w:eastAsia="zh-CN"/>
              </w:rPr>
              <w:t>方</w:t>
            </w:r>
            <w:r>
              <w:rPr>
                <w:rFonts w:hint="eastAsia" w:ascii="宋体" w:hAnsi="宋体" w:eastAsia="宋体" w:cs="宋体"/>
                <w:color w:val="000000"/>
                <w:spacing w:val="-2"/>
                <w:sz w:val="21"/>
                <w:szCs w:val="21"/>
                <w:lang w:eastAsia="zh-CN"/>
              </w:rPr>
              <w:t>向</w:t>
            </w:r>
            <w:r>
              <w:rPr>
                <w:rFonts w:hint="eastAsia" w:ascii="宋体" w:hAnsi="宋体" w:eastAsia="宋体" w:cs="宋体"/>
                <w:color w:val="000000"/>
                <w:sz w:val="21"/>
                <w:szCs w:val="21"/>
                <w:lang w:eastAsia="zh-CN"/>
              </w:rPr>
              <w:t>以</w:t>
            </w:r>
            <w:r>
              <w:rPr>
                <w:rFonts w:hint="eastAsia" w:ascii="宋体" w:hAnsi="宋体" w:eastAsia="宋体" w:cs="宋体"/>
                <w:color w:val="000000"/>
                <w:spacing w:val="50"/>
                <w:sz w:val="21"/>
                <w:szCs w:val="21"/>
                <w:lang w:eastAsia="zh-CN"/>
              </w:rPr>
              <w:t>及</w:t>
            </w:r>
            <w:r>
              <w:rPr>
                <w:rFonts w:hint="eastAsia" w:ascii="宋体" w:hAnsi="宋体" w:eastAsia="宋体" w:cs="宋体"/>
                <w:color w:val="000000"/>
                <w:spacing w:val="51"/>
                <w:sz w:val="21"/>
                <w:szCs w:val="21"/>
                <w:lang w:eastAsia="zh-CN"/>
              </w:rPr>
              <w:t>5</w:t>
            </w:r>
            <w:r>
              <w:rPr>
                <w:rFonts w:hint="eastAsia" w:ascii="宋体" w:hAnsi="宋体" w:eastAsia="宋体" w:cs="宋体"/>
                <w:color w:val="000000"/>
                <w:sz w:val="21"/>
                <w:szCs w:val="21"/>
                <w:lang w:eastAsia="zh-CN"/>
              </w:rPr>
              <w:t>档</w:t>
            </w:r>
            <w:r>
              <w:rPr>
                <w:rFonts w:hint="eastAsia" w:ascii="宋体" w:hAnsi="宋体" w:eastAsia="宋体" w:cs="宋体"/>
                <w:color w:val="000000"/>
                <w:spacing w:val="-2"/>
                <w:sz w:val="21"/>
                <w:szCs w:val="21"/>
                <w:lang w:eastAsia="zh-CN"/>
              </w:rPr>
              <w:t>行情</w:t>
            </w:r>
            <w:r>
              <w:rPr>
                <w:rFonts w:hint="eastAsia" w:ascii="宋体" w:hAnsi="宋体" w:eastAsia="宋体" w:cs="宋体"/>
                <w:color w:val="000000"/>
                <w:sz w:val="21"/>
                <w:szCs w:val="21"/>
                <w:lang w:eastAsia="zh-CN"/>
              </w:rPr>
              <w:t>买卖</w:t>
            </w:r>
            <w:r>
              <w:rPr>
                <w:rFonts w:hint="eastAsia" w:ascii="宋体" w:hAnsi="宋体" w:eastAsia="宋体" w:cs="宋体"/>
                <w:color w:val="000000"/>
                <w:spacing w:val="-2"/>
                <w:sz w:val="21"/>
                <w:szCs w:val="21"/>
                <w:lang w:eastAsia="zh-CN"/>
              </w:rPr>
              <w:t>盘</w:t>
            </w:r>
            <w:r>
              <w:rPr>
                <w:rFonts w:hint="eastAsia" w:ascii="宋体" w:hAnsi="宋体" w:eastAsia="宋体" w:cs="宋体"/>
                <w:color w:val="000000"/>
                <w:sz w:val="21"/>
                <w:szCs w:val="21"/>
                <w:lang w:eastAsia="zh-CN"/>
              </w:rPr>
              <w:t>的价格和</w:t>
            </w:r>
            <w:r>
              <w:rPr>
                <w:rFonts w:hint="eastAsia" w:ascii="宋体" w:hAnsi="宋体" w:eastAsia="宋体" w:cs="宋体"/>
                <w:color w:val="000000"/>
                <w:spacing w:val="-2"/>
                <w:sz w:val="21"/>
                <w:szCs w:val="21"/>
                <w:lang w:eastAsia="zh-CN"/>
              </w:rPr>
              <w:t>数量</w:t>
            </w:r>
            <w:r>
              <w:rPr>
                <w:rFonts w:hint="eastAsia" w:ascii="宋体" w:hAnsi="宋体" w:eastAsia="宋体" w:cs="宋体"/>
                <w:color w:val="000000"/>
                <w:spacing w:val="-21"/>
                <w:sz w:val="21"/>
                <w:szCs w:val="21"/>
                <w:lang w:eastAsia="zh-CN"/>
              </w:rPr>
              <w:t>，</w:t>
            </w:r>
            <w:r>
              <w:rPr>
                <w:rFonts w:hint="eastAsia" w:ascii="宋体" w:hAnsi="宋体" w:eastAsia="宋体" w:cs="宋体"/>
                <w:color w:val="000000"/>
                <w:spacing w:val="-2"/>
                <w:sz w:val="21"/>
                <w:szCs w:val="21"/>
                <w:lang w:eastAsia="zh-CN"/>
              </w:rPr>
              <w:t>自</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计</w:t>
            </w:r>
            <w:r>
              <w:rPr>
                <w:rFonts w:hint="eastAsia" w:ascii="宋体" w:hAnsi="宋体" w:eastAsia="宋体" w:cs="宋体"/>
                <w:color w:val="000000"/>
                <w:sz w:val="21"/>
                <w:szCs w:val="21"/>
                <w:lang w:eastAsia="zh-CN"/>
              </w:rPr>
              <w:t>算</w:t>
            </w:r>
            <w:r>
              <w:rPr>
                <w:rFonts w:hint="eastAsia" w:ascii="宋体" w:hAnsi="宋体" w:eastAsia="宋体" w:cs="宋体"/>
                <w:color w:val="000000"/>
                <w:spacing w:val="-2"/>
                <w:sz w:val="21"/>
                <w:szCs w:val="21"/>
                <w:lang w:eastAsia="zh-CN"/>
              </w:rPr>
              <w:t>出的</w:t>
            </w:r>
            <w:r>
              <w:rPr>
                <w:rFonts w:hint="eastAsia" w:ascii="宋体" w:hAnsi="宋体" w:eastAsia="宋体" w:cs="宋体"/>
                <w:color w:val="000000"/>
                <w:sz w:val="21"/>
                <w:szCs w:val="21"/>
                <w:lang w:eastAsia="zh-CN"/>
              </w:rPr>
              <w:t>委托</w:t>
            </w:r>
            <w:r>
              <w:rPr>
                <w:rFonts w:hint="eastAsia" w:ascii="宋体" w:hAnsi="宋体" w:eastAsia="宋体" w:cs="宋体"/>
                <w:color w:val="000000"/>
                <w:spacing w:val="-2"/>
                <w:sz w:val="21"/>
                <w:szCs w:val="21"/>
                <w:lang w:eastAsia="zh-CN"/>
              </w:rPr>
              <w:t>价格</w:t>
            </w:r>
            <w:r>
              <w:rPr>
                <w:rFonts w:hint="eastAsia" w:ascii="宋体" w:hAnsi="宋体" w:eastAsia="宋体" w:cs="宋体"/>
                <w:color w:val="000000"/>
                <w:spacing w:val="-21"/>
                <w:sz w:val="21"/>
                <w:szCs w:val="21"/>
                <w:lang w:eastAsia="zh-CN"/>
              </w:rPr>
              <w:t>，</w:t>
            </w:r>
            <w:r>
              <w:rPr>
                <w:rFonts w:hint="eastAsia" w:ascii="宋体" w:hAnsi="宋体" w:eastAsia="宋体" w:cs="宋体"/>
                <w:color w:val="000000"/>
                <w:spacing w:val="-2"/>
                <w:sz w:val="21"/>
                <w:szCs w:val="21"/>
                <w:lang w:eastAsia="zh-CN"/>
              </w:rPr>
              <w:t>使</w:t>
            </w:r>
            <w:r>
              <w:rPr>
                <w:rFonts w:hint="eastAsia" w:ascii="宋体" w:hAnsi="宋体" w:eastAsia="宋体" w:cs="宋体"/>
                <w:color w:val="000000"/>
                <w:sz w:val="21"/>
                <w:szCs w:val="21"/>
                <w:lang w:eastAsia="zh-CN"/>
              </w:rPr>
              <w:t>得</w:t>
            </w:r>
            <w:r>
              <w:rPr>
                <w:rFonts w:hint="eastAsia" w:ascii="宋体" w:hAnsi="宋体" w:eastAsia="宋体" w:cs="宋体"/>
                <w:color w:val="000000"/>
                <w:spacing w:val="-2"/>
                <w:sz w:val="21"/>
                <w:szCs w:val="21"/>
                <w:lang w:eastAsia="zh-CN"/>
              </w:rPr>
              <w:t>按</w:t>
            </w:r>
            <w:r>
              <w:rPr>
                <w:rFonts w:hint="eastAsia" w:ascii="宋体" w:hAnsi="宋体" w:eastAsia="宋体" w:cs="宋体"/>
                <w:color w:val="000000"/>
                <w:sz w:val="21"/>
                <w:szCs w:val="21"/>
                <w:lang w:eastAsia="zh-CN"/>
              </w:rPr>
              <w:t>当</w:t>
            </w:r>
            <w:r>
              <w:rPr>
                <w:rFonts w:hint="eastAsia" w:ascii="宋体" w:hAnsi="宋体" w:eastAsia="宋体" w:cs="宋体"/>
                <w:color w:val="000000"/>
                <w:spacing w:val="-2"/>
                <w:sz w:val="21"/>
                <w:szCs w:val="21"/>
                <w:lang w:eastAsia="zh-CN"/>
              </w:rPr>
              <w:t>前盘</w:t>
            </w:r>
            <w:r>
              <w:rPr>
                <w:rFonts w:hint="eastAsia" w:ascii="宋体" w:hAnsi="宋体" w:eastAsia="宋体" w:cs="宋体"/>
                <w:color w:val="000000"/>
                <w:sz w:val="21"/>
                <w:szCs w:val="21"/>
                <w:lang w:eastAsia="zh-CN"/>
              </w:rPr>
              <w:t>口情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可以完全</w:t>
            </w:r>
            <w:r>
              <w:rPr>
                <w:rFonts w:hint="eastAsia" w:ascii="宋体" w:hAnsi="宋体" w:eastAsia="宋体" w:cs="宋体"/>
                <w:color w:val="000000"/>
                <w:spacing w:val="-2"/>
                <w:sz w:val="21"/>
                <w:szCs w:val="21"/>
                <w:lang w:eastAsia="zh-CN"/>
              </w:rPr>
              <w:t>成</w:t>
            </w:r>
            <w:r>
              <w:rPr>
                <w:rFonts w:hint="eastAsia" w:ascii="宋体" w:hAnsi="宋体" w:eastAsia="宋体" w:cs="宋体"/>
                <w:color w:val="000000"/>
                <w:sz w:val="21"/>
                <w:szCs w:val="21"/>
                <w:lang w:eastAsia="zh-CN"/>
              </w:rPr>
              <w:t>交。</w:t>
            </w:r>
            <w:r>
              <w:rPr>
                <w:rFonts w:hint="eastAsia" w:ascii="宋体" w:hAnsi="宋体" w:eastAsia="宋体" w:cs="宋体"/>
                <w:color w:val="000000"/>
                <w:sz w:val="21"/>
                <w:szCs w:val="21"/>
                <w:lang w:val="en-US" w:eastAsia="zh-CN"/>
              </w:rPr>
              <w:t>如果</w:t>
            </w:r>
            <w:r>
              <w:rPr>
                <w:rFonts w:hint="eastAsia" w:ascii="宋体" w:hAnsi="宋体" w:eastAsia="宋体" w:cs="宋体"/>
                <w:color w:val="000000"/>
                <w:spacing w:val="-2"/>
                <w:sz w:val="21"/>
                <w:szCs w:val="21"/>
                <w:lang w:eastAsia="zh-CN"/>
              </w:rPr>
              <w:t>当</w:t>
            </w:r>
            <w:r>
              <w:rPr>
                <w:rFonts w:hint="eastAsia" w:ascii="宋体" w:hAnsi="宋体" w:eastAsia="宋体" w:cs="宋体"/>
                <w:color w:val="000000"/>
                <w:spacing w:val="-2"/>
                <w:sz w:val="21"/>
                <w:szCs w:val="21"/>
                <w:lang w:val="en-US" w:eastAsia="zh-CN"/>
              </w:rPr>
              <w:t>前</w:t>
            </w:r>
            <w:r>
              <w:rPr>
                <w:rFonts w:hint="eastAsia" w:ascii="宋体" w:hAnsi="宋体" w:eastAsia="宋体" w:cs="宋体"/>
                <w:color w:val="000000"/>
                <w:sz w:val="21"/>
                <w:szCs w:val="21"/>
                <w:lang w:eastAsia="zh-CN"/>
              </w:rPr>
              <w:t>5</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的盘</w:t>
            </w:r>
            <w:r>
              <w:rPr>
                <w:rFonts w:hint="eastAsia" w:ascii="宋体" w:hAnsi="宋体" w:eastAsia="宋体" w:cs="宋体"/>
                <w:color w:val="000000"/>
                <w:spacing w:val="-2"/>
                <w:sz w:val="21"/>
                <w:szCs w:val="21"/>
                <w:lang w:eastAsia="zh-CN"/>
              </w:rPr>
              <w:t>口</w:t>
            </w:r>
            <w:r>
              <w:rPr>
                <w:rFonts w:hint="eastAsia" w:ascii="宋体" w:hAnsi="宋体" w:eastAsia="宋体" w:cs="宋体"/>
                <w:color w:val="000000"/>
                <w:sz w:val="21"/>
                <w:szCs w:val="21"/>
                <w:lang w:eastAsia="zh-CN"/>
              </w:rPr>
              <w:t>总</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小</w:t>
            </w:r>
            <w:r>
              <w:rPr>
                <w:rFonts w:hint="eastAsia" w:ascii="宋体" w:hAnsi="宋体" w:eastAsia="宋体" w:cs="宋体"/>
                <w:color w:val="000000"/>
                <w:spacing w:val="-2"/>
                <w:sz w:val="21"/>
                <w:szCs w:val="21"/>
                <w:lang w:eastAsia="zh-CN"/>
              </w:rPr>
              <w:t>于</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数</w:t>
            </w:r>
            <w:r>
              <w:rPr>
                <w:rFonts w:hint="eastAsia" w:ascii="宋体" w:hAnsi="宋体" w:eastAsia="宋体" w:cs="宋体"/>
                <w:color w:val="000000"/>
                <w:spacing w:val="-2"/>
                <w:sz w:val="21"/>
                <w:szCs w:val="21"/>
                <w:lang w:eastAsia="zh-CN"/>
              </w:rPr>
              <w:t>量</w:t>
            </w:r>
            <w:r>
              <w:rPr>
                <w:rFonts w:hint="eastAsia" w:ascii="宋体" w:hAnsi="宋体" w:eastAsia="宋体" w:cs="宋体"/>
                <w:color w:val="000000"/>
                <w:sz w:val="21"/>
                <w:szCs w:val="21"/>
                <w:lang w:eastAsia="zh-CN"/>
              </w:rPr>
              <w:t>时</w:t>
            </w:r>
            <w:r>
              <w:rPr>
                <w:rFonts w:hint="eastAsia" w:ascii="宋体" w:hAnsi="宋体" w:eastAsia="宋体" w:cs="宋体"/>
                <w:color w:val="000000"/>
                <w:spacing w:val="-76"/>
                <w:sz w:val="21"/>
                <w:szCs w:val="21"/>
                <w:lang w:eastAsia="zh-CN"/>
              </w:rPr>
              <w:t>，</w:t>
            </w:r>
            <w:r>
              <w:rPr>
                <w:rFonts w:hint="eastAsia" w:ascii="宋体" w:hAnsi="宋体" w:eastAsia="宋体" w:cs="宋体"/>
                <w:color w:val="000000"/>
                <w:spacing w:val="-2"/>
                <w:sz w:val="21"/>
                <w:szCs w:val="21"/>
                <w:lang w:eastAsia="zh-CN"/>
              </w:rPr>
              <w:t>则</w:t>
            </w:r>
            <w:r>
              <w:rPr>
                <w:rFonts w:hint="eastAsia" w:ascii="宋体" w:hAnsi="宋体" w:eastAsia="宋体" w:cs="宋体"/>
                <w:color w:val="000000"/>
                <w:sz w:val="21"/>
                <w:szCs w:val="21"/>
                <w:lang w:eastAsia="zh-CN"/>
              </w:rPr>
              <w:t>取第 5</w:t>
            </w:r>
            <w:r>
              <w:rPr>
                <w:rFonts w:hint="eastAsia" w:ascii="宋体" w:hAnsi="宋体" w:eastAsia="宋体" w:cs="宋体"/>
                <w:color w:val="000000"/>
                <w:spacing w:val="-2"/>
                <w:sz w:val="21"/>
                <w:szCs w:val="21"/>
                <w:lang w:eastAsia="zh-CN"/>
              </w:rPr>
              <w:t>档</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格。</w:t>
            </w:r>
            <w:r>
              <w:rPr>
                <w:rFonts w:hint="eastAsia" w:ascii="宋体" w:hAnsi="宋体" w:eastAsia="宋体" w:cs="宋体"/>
                <w:color w:val="000000"/>
                <w:sz w:val="21"/>
                <w:szCs w:val="21"/>
                <w:lang w:eastAsia="zh-CN"/>
              </w:rPr>
              <w:t xml:space="preserve">  </w:t>
            </w:r>
          </w:p>
        </w:tc>
      </w:tr>
    </w:tbl>
    <w:p w14:paraId="6DD30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双击委托列表中可撤的订单，二次确认后可撤销双击的订单。</w:t>
      </w:r>
    </w:p>
    <w:p w14:paraId="1BEF764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成交明细</w:t>
      </w:r>
    </w:p>
    <w:p w14:paraId="17244A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支持查询当前用户关联的所有普通账户的成交明细，支持对成交数据按资产账号、证券代码、交易员等条件进行过滤。</w:t>
      </w:r>
    </w:p>
    <w:p w14:paraId="37B951F0">
      <w:pPr>
        <w:numPr>
          <w:ilvl w:val="0"/>
          <w:numId w:val="0"/>
        </w:numPr>
        <w:ind w:leftChars="0"/>
        <w:jc w:val="left"/>
        <w:rPr>
          <w:rFonts w:hint="eastAsia" w:ascii="宋体" w:hAnsi="宋体" w:eastAsia="宋体" w:cs="宋体"/>
          <w:color w:val="000000"/>
          <w:spacing w:val="-2"/>
          <w:sz w:val="21"/>
          <w:szCs w:val="21"/>
          <w:lang w:val="en-US" w:eastAsia="zh-CN"/>
        </w:rPr>
      </w:pPr>
      <w:r>
        <w:rPr>
          <w:rFonts w:hint="eastAsia" w:ascii="宋体" w:hAnsi="宋体" w:eastAsia="宋体" w:cs="宋体"/>
        </w:rPr>
        <w:drawing>
          <wp:inline distT="0" distB="0" distL="114300" distR="114300">
            <wp:extent cx="5262880" cy="1113155"/>
            <wp:effectExtent l="0" t="0" r="13970" b="10795"/>
            <wp:docPr id="1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
                    <pic:cNvPicPr>
                      <a:picLocks noChangeAspect="1"/>
                    </pic:cNvPicPr>
                  </pic:nvPicPr>
                  <pic:blipFill>
                    <a:blip r:embed="rId26"/>
                    <a:stretch>
                      <a:fillRect/>
                    </a:stretch>
                  </pic:blipFill>
                  <pic:spPr>
                    <a:xfrm>
                      <a:off x="0" y="0"/>
                      <a:ext cx="5262880" cy="1113155"/>
                    </a:xfrm>
                    <a:prstGeom prst="rect">
                      <a:avLst/>
                    </a:prstGeom>
                    <a:noFill/>
                    <a:ln>
                      <a:noFill/>
                    </a:ln>
                  </pic:spPr>
                </pic:pic>
              </a:graphicData>
            </a:graphic>
          </wp:inline>
        </w:drawing>
      </w:r>
    </w:p>
    <w:p w14:paraId="426A43A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7" w:name="_Toc32523"/>
      <w:r>
        <w:rPr>
          <w:rFonts w:hint="eastAsia" w:ascii="宋体" w:hAnsi="宋体" w:eastAsia="宋体" w:cs="宋体"/>
          <w:sz w:val="28"/>
          <w:szCs w:val="28"/>
          <w:lang w:val="en-US" w:eastAsia="zh-CN"/>
        </w:rPr>
        <w:t>增强交易</w:t>
      </w:r>
      <w:bookmarkEnd w:id="17"/>
    </w:p>
    <w:p w14:paraId="4A9365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增强交易模块支持的交易品种与普通交易一致，即上交所、深交所上市的9只ETF标的。该模块包含：行情面板、增强交易下单组件、委托列表、成交列表、持仓列表和账户资产列</w:t>
      </w:r>
      <w:r>
        <w:rPr>
          <w:rFonts w:hint="eastAsia" w:ascii="宋体" w:hAnsi="宋体" w:eastAsia="宋体" w:cs="宋体"/>
          <w:lang w:val="en-US" w:eastAsia="zh-CN"/>
        </w:rPr>
        <w:t>表。不同组件支持拖动、放大缩小和伸缩，可自由布置组件布局。</w:t>
      </w:r>
    </w:p>
    <w:p w14:paraId="630BA015">
      <w:pPr>
        <w:rPr>
          <w:rFonts w:hint="eastAsia" w:ascii="宋体" w:hAnsi="宋体" w:eastAsia="宋体" w:cs="宋体"/>
        </w:rPr>
      </w:pPr>
      <w:r>
        <w:rPr>
          <w:rFonts w:hint="eastAsia" w:ascii="宋体" w:hAnsi="宋体" w:eastAsia="宋体" w:cs="宋体"/>
        </w:rPr>
        <w:drawing>
          <wp:inline distT="0" distB="0" distL="114300" distR="114300">
            <wp:extent cx="5266690" cy="2668905"/>
            <wp:effectExtent l="0" t="0" r="0" b="0"/>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pic:cNvPicPr>
                  </pic:nvPicPr>
                  <pic:blipFill>
                    <a:blip r:embed="rId27"/>
                    <a:srcRect t="6454"/>
                    <a:stretch>
                      <a:fillRect/>
                    </a:stretch>
                  </pic:blipFill>
                  <pic:spPr>
                    <a:xfrm>
                      <a:off x="0" y="0"/>
                      <a:ext cx="5266690" cy="2668905"/>
                    </a:xfrm>
                    <a:prstGeom prst="rect">
                      <a:avLst/>
                    </a:prstGeom>
                    <a:noFill/>
                    <a:ln>
                      <a:noFill/>
                    </a:ln>
                  </pic:spPr>
                </pic:pic>
              </a:graphicData>
            </a:graphic>
          </wp:inline>
        </w:drawing>
      </w:r>
    </w:p>
    <w:p w14:paraId="30D5359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行情组件</w:t>
      </w:r>
    </w:p>
    <w:p w14:paraId="1C7735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支持Level 2行情，包括十档盘口、标的静态行情信息（包括昨收价、开盘价、涨跌停价、最高价、最低价）。</w:t>
      </w:r>
    </w:p>
    <w:p w14:paraId="455B431C">
      <w:pPr>
        <w:jc w:val="center"/>
        <w:rPr>
          <w:rFonts w:hint="eastAsia" w:ascii="宋体" w:hAnsi="宋体" w:eastAsia="宋体" w:cs="宋体"/>
        </w:rPr>
      </w:pPr>
      <w:r>
        <w:rPr>
          <w:rFonts w:hint="eastAsia" w:ascii="宋体" w:hAnsi="宋体" w:eastAsia="宋体" w:cs="宋体"/>
        </w:rPr>
        <w:drawing>
          <wp:inline distT="0" distB="0" distL="114300" distR="114300">
            <wp:extent cx="2988310" cy="2750820"/>
            <wp:effectExtent l="0" t="0" r="2540" b="11430"/>
            <wp:docPr id="1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
                    <pic:cNvPicPr>
                      <a:picLocks noChangeAspect="1"/>
                    </pic:cNvPicPr>
                  </pic:nvPicPr>
                  <pic:blipFill>
                    <a:blip r:embed="rId28"/>
                    <a:stretch>
                      <a:fillRect/>
                    </a:stretch>
                  </pic:blipFill>
                  <pic:spPr>
                    <a:xfrm>
                      <a:off x="0" y="0"/>
                      <a:ext cx="2988310" cy="2750820"/>
                    </a:xfrm>
                    <a:prstGeom prst="rect">
                      <a:avLst/>
                    </a:prstGeom>
                    <a:noFill/>
                    <a:ln>
                      <a:noFill/>
                    </a:ln>
                  </pic:spPr>
                </pic:pic>
              </a:graphicData>
            </a:graphic>
          </wp:inline>
        </w:drawing>
      </w:r>
    </w:p>
    <w:p w14:paraId="53225AD7">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增强交易面板</w:t>
      </w:r>
    </w:p>
    <w:p w14:paraId="455F6C44">
      <w:pPr>
        <w:jc w:val="left"/>
        <w:rPr>
          <w:rFonts w:hint="eastAsia" w:ascii="宋体" w:hAnsi="宋体" w:eastAsia="宋体" w:cs="宋体"/>
        </w:rPr>
      </w:pPr>
      <w:r>
        <w:rPr>
          <w:rFonts w:hint="eastAsia" w:ascii="宋体" w:hAnsi="宋体" w:eastAsia="宋体" w:cs="宋体"/>
        </w:rPr>
        <w:drawing>
          <wp:inline distT="0" distB="0" distL="114300" distR="114300">
            <wp:extent cx="5267960" cy="2452370"/>
            <wp:effectExtent l="0" t="0" r="8890" b="5080"/>
            <wp:docPr id="1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
                    <pic:cNvPicPr>
                      <a:picLocks noChangeAspect="1"/>
                    </pic:cNvPicPr>
                  </pic:nvPicPr>
                  <pic:blipFill>
                    <a:blip r:embed="rId29"/>
                    <a:stretch>
                      <a:fillRect/>
                    </a:stretch>
                  </pic:blipFill>
                  <pic:spPr>
                    <a:xfrm>
                      <a:off x="0" y="0"/>
                      <a:ext cx="5267960" cy="2452370"/>
                    </a:xfrm>
                    <a:prstGeom prst="rect">
                      <a:avLst/>
                    </a:prstGeom>
                    <a:noFill/>
                    <a:ln>
                      <a:noFill/>
                    </a:ln>
                  </pic:spPr>
                </pic:pic>
              </a:graphicData>
            </a:graphic>
          </wp:inline>
        </w:drawing>
      </w:r>
    </w:p>
    <w:p w14:paraId="09BE25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下单面板各字段说明如下：</w:t>
      </w:r>
    </w:p>
    <w:tbl>
      <w:tblPr>
        <w:tblStyle w:val="21"/>
        <w:tblpPr w:vertAnchor="text" w:horzAnchor="page" w:tblpX="1827" w:tblpY="344"/>
        <w:tblOverlap w:val="never"/>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6"/>
        <w:gridCol w:w="6162"/>
      </w:tblGrid>
      <w:tr w14:paraId="09B9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trPr>
        <w:tc>
          <w:tcPr>
            <w:tcW w:w="2116" w:type="dxa"/>
          </w:tcPr>
          <w:p w14:paraId="1C95829E">
            <w:pPr>
              <w:ind w:firstLine="112"/>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名</w:t>
            </w:r>
          </w:p>
        </w:tc>
        <w:tc>
          <w:tcPr>
            <w:tcW w:w="6162" w:type="dxa"/>
          </w:tcPr>
          <w:p w14:paraId="16E04705">
            <w:pPr>
              <w:ind w:firstLine="113"/>
              <w:jc w:val="center"/>
              <w:rPr>
                <w:rFonts w:hint="eastAsia" w:ascii="宋体" w:hAnsi="宋体" w:eastAsia="宋体" w:cs="宋体"/>
                <w:b/>
                <w:bCs/>
                <w:color w:val="010302"/>
              </w:rPr>
            </w:pPr>
            <w:r>
              <w:rPr>
                <w:rFonts w:hint="eastAsia" w:ascii="宋体" w:hAnsi="宋体" w:eastAsia="宋体" w:cs="宋体"/>
                <w:b/>
                <w:bCs/>
                <w:color w:val="000000"/>
                <w:sz w:val="21"/>
                <w:szCs w:val="21"/>
              </w:rPr>
              <w:t>字段</w:t>
            </w:r>
            <w:r>
              <w:rPr>
                <w:rFonts w:hint="eastAsia" w:ascii="宋体" w:hAnsi="宋体" w:eastAsia="宋体" w:cs="宋体"/>
                <w:b/>
                <w:bCs/>
                <w:color w:val="000000"/>
                <w:spacing w:val="-2"/>
                <w:sz w:val="21"/>
                <w:szCs w:val="21"/>
              </w:rPr>
              <w:t>说明</w:t>
            </w:r>
          </w:p>
        </w:tc>
      </w:tr>
      <w:tr w14:paraId="1E70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F2E474F">
            <w:pPr>
              <w:ind w:firstLine="112"/>
              <w:jc w:val="center"/>
              <w:rPr>
                <w:rFonts w:hint="eastAsia" w:ascii="宋体" w:hAnsi="宋体" w:eastAsia="宋体" w:cs="宋体"/>
                <w:color w:val="010302"/>
              </w:rPr>
            </w:pPr>
            <w:r>
              <w:rPr>
                <w:rFonts w:hint="eastAsia" w:ascii="宋体" w:hAnsi="宋体" w:eastAsia="宋体" w:cs="宋体"/>
                <w:color w:val="000000"/>
                <w:sz w:val="21"/>
                <w:szCs w:val="21"/>
              </w:rPr>
              <w:t>证券</w:t>
            </w:r>
            <w:r>
              <w:rPr>
                <w:rFonts w:hint="eastAsia" w:ascii="宋体" w:hAnsi="宋体" w:eastAsia="宋体" w:cs="宋体"/>
                <w:color w:val="000000"/>
                <w:spacing w:val="-2"/>
                <w:sz w:val="21"/>
                <w:szCs w:val="21"/>
              </w:rPr>
              <w:t>代码</w:t>
            </w:r>
          </w:p>
        </w:tc>
        <w:tc>
          <w:tcPr>
            <w:tcW w:w="6162" w:type="dxa"/>
          </w:tcPr>
          <w:p w14:paraId="56DB0DAD">
            <w:pPr>
              <w:rPr>
                <w:rFonts w:hint="eastAsia" w:ascii="宋体" w:hAnsi="宋体" w:eastAsia="宋体" w:cs="宋体"/>
                <w:color w:val="010302"/>
                <w:lang w:val="en-US"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上</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w:t>
            </w:r>
            <w:r>
              <w:rPr>
                <w:rFonts w:hint="eastAsia" w:ascii="宋体" w:hAnsi="宋体" w:eastAsia="宋体" w:cs="宋体"/>
                <w:color w:val="000000"/>
                <w:spacing w:val="-2"/>
                <w:sz w:val="21"/>
                <w:szCs w:val="21"/>
                <w:lang w:eastAsia="zh-CN"/>
              </w:rPr>
              <w:t>深</w:t>
            </w:r>
            <w:r>
              <w:rPr>
                <w:rFonts w:hint="eastAsia" w:ascii="宋体" w:hAnsi="宋体" w:eastAsia="宋体" w:cs="宋体"/>
                <w:color w:val="000000"/>
                <w:sz w:val="21"/>
                <w:szCs w:val="21"/>
                <w:lang w:eastAsia="zh-CN"/>
              </w:rPr>
              <w:t>交</w:t>
            </w:r>
            <w:r>
              <w:rPr>
                <w:rFonts w:hint="eastAsia" w:ascii="宋体" w:hAnsi="宋体" w:eastAsia="宋体" w:cs="宋体"/>
                <w:color w:val="000000"/>
                <w:spacing w:val="-2"/>
                <w:sz w:val="21"/>
                <w:szCs w:val="21"/>
                <w:lang w:eastAsia="zh-CN"/>
              </w:rPr>
              <w:t>所</w:t>
            </w:r>
            <w:r>
              <w:rPr>
                <w:rFonts w:hint="eastAsia" w:ascii="宋体" w:hAnsi="宋体" w:eastAsia="宋体" w:cs="宋体"/>
                <w:color w:val="000000"/>
                <w:sz w:val="21"/>
                <w:szCs w:val="21"/>
                <w:lang w:eastAsia="zh-CN"/>
              </w:rPr>
              <w:t>ETF基</w:t>
            </w:r>
            <w:r>
              <w:rPr>
                <w:rFonts w:hint="eastAsia" w:ascii="宋体" w:hAnsi="宋体" w:eastAsia="宋体" w:cs="宋体"/>
                <w:color w:val="000000"/>
                <w:spacing w:val="-2"/>
                <w:sz w:val="21"/>
                <w:szCs w:val="21"/>
                <w:lang w:eastAsia="zh-CN"/>
              </w:rPr>
              <w:t>金</w:t>
            </w:r>
            <w:r>
              <w:rPr>
                <w:rFonts w:hint="eastAsia" w:ascii="宋体" w:hAnsi="宋体" w:eastAsia="宋体" w:cs="宋体"/>
                <w:color w:val="000000"/>
                <w:sz w:val="21"/>
                <w:szCs w:val="21"/>
                <w:lang w:eastAsia="zh-CN"/>
              </w:rPr>
              <w:t>代</w:t>
            </w:r>
            <w:r>
              <w:rPr>
                <w:rFonts w:hint="eastAsia" w:ascii="宋体" w:hAnsi="宋体" w:eastAsia="宋体" w:cs="宋体"/>
                <w:color w:val="000000"/>
                <w:spacing w:val="-2"/>
                <w:sz w:val="21"/>
                <w:szCs w:val="21"/>
                <w:lang w:eastAsia="zh-CN"/>
              </w:rPr>
              <w:t>码</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lang w:val="en-US" w:eastAsia="zh-CN"/>
              </w:rPr>
              <w:t>支持模糊匹配输入内容。输入代码后，展示对应的基金名称</w:t>
            </w:r>
          </w:p>
        </w:tc>
      </w:tr>
      <w:tr w14:paraId="232A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116" w:type="dxa"/>
            <w:vAlign w:val="center"/>
          </w:tcPr>
          <w:p w14:paraId="557C0669">
            <w:pPr>
              <w:spacing w:before="19"/>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方向</w:t>
            </w:r>
          </w:p>
        </w:tc>
        <w:tc>
          <w:tcPr>
            <w:tcW w:w="6162" w:type="dxa"/>
          </w:tcPr>
          <w:p w14:paraId="7705F82B">
            <w:pPr>
              <w:spacing w:before="19"/>
              <w:rPr>
                <w:rFonts w:hint="eastAsia" w:ascii="宋体" w:hAnsi="宋体" w:eastAsia="宋体" w:cs="宋体"/>
                <w:color w:val="010302"/>
                <w:lang w:eastAsia="zh-CN"/>
              </w:rPr>
            </w:pPr>
            <w:r>
              <w:rPr>
                <w:rFonts w:hint="eastAsia" w:ascii="宋体" w:hAnsi="宋体" w:eastAsia="宋体" w:cs="宋体"/>
                <w:color w:val="000000"/>
                <w:sz w:val="21"/>
                <w:szCs w:val="21"/>
                <w:lang w:eastAsia="zh-CN"/>
              </w:rPr>
              <w:t>支持</w:t>
            </w:r>
            <w:r>
              <w:rPr>
                <w:rFonts w:hint="eastAsia" w:ascii="宋体" w:hAnsi="宋体" w:eastAsia="宋体" w:cs="宋体"/>
                <w:color w:val="000000"/>
                <w:spacing w:val="-2"/>
                <w:sz w:val="21"/>
                <w:szCs w:val="21"/>
                <w:lang w:eastAsia="zh-CN"/>
              </w:rPr>
              <w:t>买</w:t>
            </w:r>
            <w:r>
              <w:rPr>
                <w:rFonts w:hint="eastAsia" w:ascii="宋体" w:hAnsi="宋体" w:eastAsia="宋体" w:cs="宋体"/>
                <w:color w:val="000000"/>
                <w:sz w:val="21"/>
                <w:szCs w:val="21"/>
                <w:lang w:eastAsia="zh-CN"/>
              </w:rPr>
              <w:t>入</w:t>
            </w:r>
            <w:r>
              <w:rPr>
                <w:rFonts w:hint="eastAsia" w:ascii="宋体" w:hAnsi="宋体" w:eastAsia="宋体" w:cs="宋体"/>
                <w:color w:val="000000"/>
                <w:spacing w:val="-2"/>
                <w:sz w:val="21"/>
                <w:szCs w:val="21"/>
                <w:lang w:eastAsia="zh-CN"/>
              </w:rPr>
              <w:t>、</w:t>
            </w:r>
            <w:r>
              <w:rPr>
                <w:rFonts w:hint="eastAsia" w:ascii="宋体" w:hAnsi="宋体" w:eastAsia="宋体" w:cs="宋体"/>
                <w:color w:val="000000"/>
                <w:sz w:val="21"/>
                <w:szCs w:val="21"/>
                <w:lang w:eastAsia="zh-CN"/>
              </w:rPr>
              <w:t>卖</w:t>
            </w:r>
            <w:r>
              <w:rPr>
                <w:rFonts w:hint="eastAsia" w:ascii="宋体" w:hAnsi="宋体" w:eastAsia="宋体" w:cs="宋体"/>
                <w:color w:val="000000"/>
                <w:spacing w:val="-2"/>
                <w:sz w:val="21"/>
                <w:szCs w:val="21"/>
                <w:lang w:eastAsia="zh-CN"/>
              </w:rPr>
              <w:t>出</w:t>
            </w:r>
            <w:r>
              <w:rPr>
                <w:rFonts w:hint="eastAsia" w:ascii="宋体" w:hAnsi="宋体" w:eastAsia="宋体" w:cs="宋体"/>
                <w:color w:val="000000"/>
                <w:sz w:val="21"/>
                <w:szCs w:val="21"/>
                <w:lang w:eastAsia="zh-CN"/>
              </w:rPr>
              <w:t xml:space="preserve">  </w:t>
            </w:r>
          </w:p>
        </w:tc>
      </w:tr>
      <w:tr w14:paraId="743C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116" w:type="dxa"/>
            <w:vAlign w:val="center"/>
          </w:tcPr>
          <w:p w14:paraId="0A3C2ADF">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报价</w:t>
            </w:r>
            <w:r>
              <w:rPr>
                <w:rFonts w:hint="eastAsia" w:ascii="宋体" w:hAnsi="宋体" w:eastAsia="宋体" w:cs="宋体"/>
                <w:color w:val="000000"/>
                <w:spacing w:val="-2"/>
                <w:sz w:val="21"/>
                <w:szCs w:val="21"/>
              </w:rPr>
              <w:t>类型</w:t>
            </w:r>
          </w:p>
        </w:tc>
        <w:tc>
          <w:tcPr>
            <w:tcW w:w="6162" w:type="dxa"/>
          </w:tcPr>
          <w:p w14:paraId="322BE06E">
            <w:pPr>
              <w:spacing w:before="16"/>
              <w:rPr>
                <w:rFonts w:hint="eastAsia" w:ascii="宋体" w:hAnsi="宋体" w:eastAsia="宋体" w:cs="宋体"/>
                <w:color w:val="000000"/>
                <w:spacing w:val="-7"/>
                <w:sz w:val="21"/>
                <w:szCs w:val="21"/>
                <w:lang w:val="en-US" w:eastAsia="zh-CN"/>
              </w:rPr>
            </w:pPr>
            <w:r>
              <w:rPr>
                <w:rFonts w:hint="eastAsia" w:ascii="宋体" w:hAnsi="宋体" w:eastAsia="宋体" w:cs="宋体"/>
                <w:color w:val="000000"/>
                <w:sz w:val="21"/>
                <w:szCs w:val="21"/>
                <w:lang w:val="en-US" w:eastAsia="zh-CN"/>
              </w:rPr>
              <w:t>下拉选择框，包括：</w:t>
            </w:r>
            <w:r>
              <w:rPr>
                <w:rFonts w:hint="eastAsia" w:ascii="宋体" w:hAnsi="宋体" w:eastAsia="宋体" w:cs="宋体"/>
                <w:color w:val="000000"/>
                <w:sz w:val="21"/>
                <w:szCs w:val="21"/>
                <w:lang w:eastAsia="zh-CN"/>
              </w:rPr>
              <w:t>限价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最</w:t>
            </w:r>
            <w:r>
              <w:rPr>
                <w:rFonts w:hint="eastAsia" w:ascii="宋体" w:hAnsi="宋体" w:eastAsia="宋体" w:cs="宋体"/>
                <w:color w:val="000000"/>
                <w:spacing w:val="-2"/>
                <w:sz w:val="21"/>
                <w:szCs w:val="21"/>
                <w:lang w:eastAsia="zh-CN"/>
              </w:rPr>
              <w:t>新</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val="en-US" w:eastAsia="zh-CN"/>
              </w:rPr>
              <w:t>买一价</w:t>
            </w:r>
            <w:r>
              <w:rPr>
                <w:rFonts w:hint="eastAsia" w:ascii="宋体" w:hAnsi="宋体" w:eastAsia="宋体" w:cs="宋体"/>
                <w:color w:val="000000"/>
                <w:spacing w:val="-2"/>
                <w:sz w:val="21"/>
                <w:szCs w:val="21"/>
                <w:lang w:val="en-US" w:eastAsia="zh-CN"/>
              </w:rPr>
              <w:t>，卖一价，全额成交或撤，即成剩撤，五档即成剩撤，本方最优，对手方最优，</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停</w:t>
            </w:r>
            <w:r>
              <w:rPr>
                <w:rFonts w:hint="eastAsia" w:ascii="宋体" w:hAnsi="宋体" w:eastAsia="宋体" w:cs="宋体"/>
                <w:color w:val="000000"/>
                <w:sz w:val="21"/>
                <w:szCs w:val="21"/>
                <w:lang w:eastAsia="zh-CN"/>
              </w:rPr>
              <w:t>价</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z w:val="21"/>
                <w:szCs w:val="21"/>
                <w:lang w:eastAsia="zh-CN"/>
              </w:rPr>
              <w:t>跌停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lang w:val="en-US" w:eastAsia="zh-CN"/>
              </w:rPr>
              <w:t>卖五/卖四/卖三/卖二，买二/买三/买四/买五</w:t>
            </w:r>
          </w:p>
          <w:p w14:paraId="0DC92C5A">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其中最新价、买卖五档盘口档位价、</w:t>
            </w:r>
            <w:r>
              <w:rPr>
                <w:rFonts w:hint="eastAsia" w:ascii="宋体" w:hAnsi="宋体" w:eastAsia="宋体" w:cs="宋体"/>
                <w:color w:val="000000"/>
                <w:sz w:val="21"/>
                <w:szCs w:val="21"/>
                <w:lang w:eastAsia="zh-CN"/>
              </w:rPr>
              <w:t>涨</w:t>
            </w:r>
            <w:r>
              <w:rPr>
                <w:rFonts w:hint="eastAsia" w:ascii="宋体" w:hAnsi="宋体" w:eastAsia="宋体" w:cs="宋体"/>
                <w:color w:val="000000"/>
                <w:spacing w:val="-2"/>
                <w:sz w:val="21"/>
                <w:szCs w:val="21"/>
                <w:lang w:eastAsia="zh-CN"/>
              </w:rPr>
              <w:t>跌</w:t>
            </w:r>
            <w:r>
              <w:rPr>
                <w:rFonts w:hint="eastAsia" w:ascii="宋体" w:hAnsi="宋体" w:eastAsia="宋体" w:cs="宋体"/>
                <w:color w:val="000000"/>
                <w:sz w:val="21"/>
                <w:szCs w:val="21"/>
                <w:lang w:eastAsia="zh-CN"/>
              </w:rPr>
              <w:t>停</w:t>
            </w:r>
            <w:r>
              <w:rPr>
                <w:rFonts w:hint="eastAsia" w:ascii="宋体" w:hAnsi="宋体" w:eastAsia="宋体" w:cs="宋体"/>
                <w:color w:val="000000"/>
                <w:spacing w:val="-2"/>
                <w:sz w:val="21"/>
                <w:szCs w:val="21"/>
                <w:lang w:eastAsia="zh-CN"/>
              </w:rPr>
              <w:t>价</w:t>
            </w:r>
            <w:r>
              <w:rPr>
                <w:rFonts w:hint="eastAsia" w:ascii="宋体" w:hAnsi="宋体" w:eastAsia="宋体" w:cs="宋体"/>
                <w:color w:val="000000"/>
                <w:sz w:val="21"/>
                <w:szCs w:val="21"/>
                <w:lang w:eastAsia="zh-CN"/>
              </w:rPr>
              <w:t>委</w:t>
            </w:r>
            <w:r>
              <w:rPr>
                <w:rFonts w:hint="eastAsia" w:ascii="宋体" w:hAnsi="宋体" w:eastAsia="宋体" w:cs="宋体"/>
                <w:color w:val="000000"/>
                <w:spacing w:val="-2"/>
                <w:sz w:val="21"/>
                <w:szCs w:val="21"/>
                <w:lang w:eastAsia="zh-CN"/>
              </w:rPr>
              <w:t>托</w:t>
            </w:r>
            <w:r>
              <w:rPr>
                <w:rFonts w:hint="eastAsia" w:ascii="宋体" w:hAnsi="宋体" w:eastAsia="宋体" w:cs="宋体"/>
                <w:color w:val="000000"/>
                <w:sz w:val="21"/>
                <w:szCs w:val="21"/>
                <w:lang w:eastAsia="zh-CN"/>
              </w:rPr>
              <w:t>时</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支</w:t>
            </w:r>
            <w:r>
              <w:rPr>
                <w:rFonts w:hint="eastAsia" w:ascii="宋体" w:hAnsi="宋体" w:eastAsia="宋体" w:cs="宋体"/>
                <w:color w:val="000000"/>
                <w:sz w:val="21"/>
                <w:szCs w:val="21"/>
                <w:lang w:eastAsia="zh-CN"/>
              </w:rPr>
              <w:t>持</w:t>
            </w:r>
            <w:r>
              <w:rPr>
                <w:rFonts w:hint="eastAsia" w:ascii="宋体" w:hAnsi="宋体" w:eastAsia="宋体" w:cs="宋体"/>
                <w:color w:val="000000"/>
                <w:spacing w:val="-2"/>
                <w:sz w:val="21"/>
                <w:szCs w:val="21"/>
                <w:lang w:eastAsia="zh-CN"/>
              </w:rPr>
              <w:t>设</w:t>
            </w:r>
            <w:r>
              <w:rPr>
                <w:rFonts w:hint="eastAsia" w:ascii="宋体" w:hAnsi="宋体" w:eastAsia="宋体" w:cs="宋体"/>
                <w:color w:val="000000"/>
                <w:sz w:val="21"/>
                <w:szCs w:val="21"/>
                <w:lang w:eastAsia="zh-CN"/>
              </w:rPr>
              <w:t>置</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w:t>
            </w:r>
            <w:r>
              <w:rPr>
                <w:rFonts w:hint="eastAsia" w:ascii="宋体" w:hAnsi="宋体" w:eastAsia="宋体" w:cs="宋体"/>
                <w:color w:val="000000"/>
                <w:spacing w:val="-2"/>
                <w:sz w:val="21"/>
                <w:szCs w:val="21"/>
                <w:lang w:eastAsia="zh-CN"/>
              </w:rPr>
              <w:t>比</w:t>
            </w:r>
            <w:r>
              <w:rPr>
                <w:rFonts w:hint="eastAsia" w:ascii="宋体" w:hAnsi="宋体" w:eastAsia="宋体" w:cs="宋体"/>
                <w:color w:val="000000"/>
                <w:sz w:val="21"/>
                <w:szCs w:val="21"/>
                <w:lang w:eastAsia="zh-CN"/>
              </w:rPr>
              <w:t>例</w:t>
            </w:r>
            <w:r>
              <w:rPr>
                <w:rFonts w:hint="eastAsia" w:ascii="宋体" w:hAnsi="宋体" w:eastAsia="宋体" w:cs="宋体"/>
                <w:color w:val="000000"/>
                <w:spacing w:val="-33"/>
                <w:sz w:val="21"/>
                <w:szCs w:val="21"/>
                <w:lang w:eastAsia="zh-CN"/>
              </w:rPr>
              <w:t>，</w:t>
            </w:r>
            <w:r>
              <w:rPr>
                <w:rFonts w:hint="eastAsia" w:ascii="宋体" w:hAnsi="宋体" w:eastAsia="宋体" w:cs="宋体"/>
                <w:color w:val="000000"/>
                <w:spacing w:val="-2"/>
                <w:sz w:val="21"/>
                <w:szCs w:val="21"/>
                <w:lang w:eastAsia="zh-CN"/>
              </w:rPr>
              <w:t>浮</w:t>
            </w:r>
            <w:r>
              <w:rPr>
                <w:rFonts w:hint="eastAsia" w:ascii="宋体" w:hAnsi="宋体" w:eastAsia="宋体" w:cs="宋体"/>
                <w:color w:val="000000"/>
                <w:sz w:val="21"/>
                <w:szCs w:val="21"/>
                <w:lang w:eastAsia="zh-CN"/>
              </w:rPr>
              <w:t>动单</w:t>
            </w:r>
            <w:r>
              <w:rPr>
                <w:rFonts w:hint="eastAsia" w:ascii="宋体" w:hAnsi="宋体" w:eastAsia="宋体" w:cs="宋体"/>
                <w:color w:val="000000"/>
                <w:spacing w:val="-2"/>
                <w:sz w:val="21"/>
                <w:szCs w:val="21"/>
                <w:lang w:eastAsia="zh-CN"/>
              </w:rPr>
              <w:t>位</w:t>
            </w:r>
            <w:r>
              <w:rPr>
                <w:rFonts w:hint="eastAsia" w:ascii="宋体" w:hAnsi="宋体" w:eastAsia="宋体" w:cs="宋体"/>
                <w:color w:val="000000"/>
                <w:sz w:val="21"/>
                <w:szCs w:val="21"/>
                <w:lang w:eastAsia="zh-CN"/>
              </w:rPr>
              <w:t>为标的最</w:t>
            </w:r>
            <w:r>
              <w:rPr>
                <w:rFonts w:hint="eastAsia" w:ascii="宋体" w:hAnsi="宋体" w:eastAsia="宋体" w:cs="宋体"/>
                <w:color w:val="000000"/>
                <w:spacing w:val="-2"/>
                <w:sz w:val="21"/>
                <w:szCs w:val="21"/>
                <w:lang w:eastAsia="zh-CN"/>
              </w:rPr>
              <w:t>小</w:t>
            </w:r>
            <w:r>
              <w:rPr>
                <w:rFonts w:hint="eastAsia" w:ascii="宋体" w:hAnsi="宋体" w:eastAsia="宋体" w:cs="宋体"/>
                <w:color w:val="000000"/>
                <w:sz w:val="21"/>
                <w:szCs w:val="21"/>
                <w:lang w:eastAsia="zh-CN"/>
              </w:rPr>
              <w:t>变</w:t>
            </w:r>
            <w:r>
              <w:rPr>
                <w:rFonts w:hint="eastAsia" w:ascii="宋体" w:hAnsi="宋体" w:eastAsia="宋体" w:cs="宋体"/>
                <w:color w:val="000000"/>
                <w:spacing w:val="-2"/>
                <w:sz w:val="21"/>
                <w:szCs w:val="21"/>
                <w:lang w:eastAsia="zh-CN"/>
              </w:rPr>
              <w:t>动</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差</w:t>
            </w:r>
            <w:r>
              <w:rPr>
                <w:rFonts w:hint="eastAsia" w:ascii="宋体" w:hAnsi="宋体" w:eastAsia="宋体" w:cs="宋体"/>
                <w:color w:val="000000"/>
                <w:sz w:val="21"/>
                <w:szCs w:val="21"/>
                <w:lang w:eastAsia="zh-CN"/>
              </w:rPr>
              <w:t xml:space="preserve">  </w:t>
            </w:r>
          </w:p>
        </w:tc>
      </w:tr>
      <w:tr w14:paraId="1D9C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75CD61E">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rPr>
              <w:t>委托</w:t>
            </w:r>
            <w:r>
              <w:rPr>
                <w:rFonts w:hint="eastAsia" w:ascii="宋体" w:hAnsi="宋体" w:eastAsia="宋体" w:cs="宋体"/>
                <w:color w:val="000000"/>
                <w:spacing w:val="-2"/>
                <w:sz w:val="21"/>
                <w:szCs w:val="21"/>
              </w:rPr>
              <w:t>价格</w:t>
            </w:r>
          </w:p>
        </w:tc>
        <w:tc>
          <w:tcPr>
            <w:tcW w:w="6162" w:type="dxa"/>
          </w:tcPr>
          <w:p w14:paraId="58E75D24">
            <w:pPr>
              <w:spacing w:before="16"/>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仅在</w:t>
            </w:r>
            <w:r>
              <w:rPr>
                <w:rFonts w:hint="eastAsia" w:ascii="宋体" w:hAnsi="宋体" w:eastAsia="宋体" w:cs="宋体"/>
                <w:color w:val="000000"/>
                <w:spacing w:val="-2"/>
                <w:sz w:val="21"/>
                <w:szCs w:val="21"/>
                <w:lang w:eastAsia="zh-CN"/>
              </w:rPr>
              <w:t>限</w:t>
            </w:r>
            <w:r>
              <w:rPr>
                <w:rFonts w:hint="eastAsia" w:ascii="宋体" w:hAnsi="宋体" w:eastAsia="宋体" w:cs="宋体"/>
                <w:color w:val="000000"/>
                <w:sz w:val="21"/>
                <w:szCs w:val="21"/>
                <w:lang w:eastAsia="zh-CN"/>
              </w:rPr>
              <w:t>价</w:t>
            </w:r>
            <w:r>
              <w:rPr>
                <w:rFonts w:hint="eastAsia" w:ascii="宋体" w:hAnsi="宋体" w:eastAsia="宋体" w:cs="宋体"/>
                <w:color w:val="000000"/>
                <w:spacing w:val="-2"/>
                <w:sz w:val="21"/>
                <w:szCs w:val="21"/>
                <w:lang w:eastAsia="zh-CN"/>
              </w:rPr>
              <w:t>单</w:t>
            </w:r>
            <w:r>
              <w:rPr>
                <w:rFonts w:hint="eastAsia" w:ascii="宋体" w:hAnsi="宋体" w:eastAsia="宋体" w:cs="宋体"/>
                <w:color w:val="000000"/>
                <w:sz w:val="21"/>
                <w:szCs w:val="21"/>
                <w:lang w:eastAsia="zh-CN"/>
              </w:rPr>
              <w:t>情</w:t>
            </w:r>
            <w:r>
              <w:rPr>
                <w:rFonts w:hint="eastAsia" w:ascii="宋体" w:hAnsi="宋体" w:eastAsia="宋体" w:cs="宋体"/>
                <w:color w:val="000000"/>
                <w:spacing w:val="-2"/>
                <w:sz w:val="21"/>
                <w:szCs w:val="21"/>
                <w:lang w:eastAsia="zh-CN"/>
              </w:rPr>
              <w:t>况</w:t>
            </w:r>
            <w:r>
              <w:rPr>
                <w:rFonts w:hint="eastAsia" w:ascii="宋体" w:hAnsi="宋体" w:eastAsia="宋体" w:cs="宋体"/>
                <w:color w:val="000000"/>
                <w:sz w:val="21"/>
                <w:szCs w:val="21"/>
                <w:lang w:eastAsia="zh-CN"/>
              </w:rPr>
              <w:t>下</w:t>
            </w:r>
            <w:r>
              <w:rPr>
                <w:rFonts w:hint="eastAsia" w:ascii="宋体" w:hAnsi="宋体" w:eastAsia="宋体" w:cs="宋体"/>
                <w:color w:val="000000"/>
                <w:spacing w:val="-2"/>
                <w:sz w:val="21"/>
                <w:szCs w:val="21"/>
                <w:lang w:eastAsia="zh-CN"/>
              </w:rPr>
              <w:t>有效</w:t>
            </w:r>
          </w:p>
        </w:tc>
      </w:tr>
      <w:tr w14:paraId="1108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trPr>
        <w:tc>
          <w:tcPr>
            <w:tcW w:w="2116" w:type="dxa"/>
            <w:vAlign w:val="center"/>
          </w:tcPr>
          <w:p w14:paraId="1E68C180">
            <w:pPr>
              <w:spacing w:before="16"/>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目标类型</w:t>
            </w:r>
          </w:p>
        </w:tc>
        <w:tc>
          <w:tcPr>
            <w:tcW w:w="6162" w:type="dxa"/>
          </w:tcPr>
          <w:p w14:paraId="2D440AC1">
            <w:pPr>
              <w:spacing w:before="14" w:line="312" w:lineRule="exact"/>
              <w:ind w:right="2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按委托总股数、按委托总金额、按总资产比例、按可用资金比例</w:t>
            </w:r>
            <w:r>
              <w:rPr>
                <w:rFonts w:hint="eastAsia" w:ascii="宋体" w:hAnsi="宋体" w:eastAsia="宋体" w:cs="宋体"/>
                <w:color w:val="000000"/>
                <w:sz w:val="21"/>
                <w:szCs w:val="21"/>
                <w:lang w:eastAsia="zh-CN"/>
              </w:rPr>
              <w:t xml:space="preserve"> </w:t>
            </w:r>
          </w:p>
        </w:tc>
      </w:tr>
      <w:tr w14:paraId="3FC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45CF8925">
            <w:pPr>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委托总量</w:t>
            </w:r>
          </w:p>
        </w:tc>
        <w:tc>
          <w:tcPr>
            <w:tcW w:w="6162" w:type="dxa"/>
          </w:tcPr>
          <w:p w14:paraId="6488F9C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w:t>
            </w:r>
          </w:p>
          <w:p w14:paraId="24F3321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按委托总股数时单位为“股”</w:t>
            </w:r>
          </w:p>
          <w:p w14:paraId="0CE08412">
            <w:pPr>
              <w:rPr>
                <w:rFonts w:hint="eastAsia" w:ascii="宋体" w:hAnsi="宋体" w:eastAsia="宋体" w:cs="宋体"/>
                <w:color w:val="010302"/>
              </w:rPr>
            </w:pPr>
            <w:r>
              <w:rPr>
                <w:rFonts w:hint="eastAsia" w:ascii="宋体" w:hAnsi="宋体" w:eastAsia="宋体" w:cs="宋体"/>
                <w:color w:val="000000"/>
                <w:sz w:val="21"/>
                <w:szCs w:val="21"/>
                <w:lang w:val="en-US" w:eastAsia="zh-CN"/>
              </w:rPr>
              <w:t>按委托总金额时单位为“元”</w:t>
            </w:r>
            <w:r>
              <w:rPr>
                <w:rFonts w:hint="eastAsia" w:ascii="宋体" w:hAnsi="宋体" w:eastAsia="宋体" w:cs="宋体"/>
                <w:color w:val="000000"/>
                <w:sz w:val="21"/>
                <w:szCs w:val="21"/>
              </w:rPr>
              <w:t xml:space="preserve"> </w:t>
            </w:r>
          </w:p>
        </w:tc>
      </w:tr>
      <w:tr w14:paraId="589B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2A9650ED">
            <w:pPr>
              <w:ind w:firstLine="112"/>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可买数量（比例）</w:t>
            </w:r>
          </w:p>
        </w:tc>
        <w:tc>
          <w:tcPr>
            <w:tcW w:w="6162" w:type="dxa"/>
          </w:tcPr>
          <w:p w14:paraId="263BC3B0">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w:t>
            </w:r>
          </w:p>
          <w:p w14:paraId="5A0FCD04">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单选项，无默认值，分为：全部、1/2、1/3、1/4</w:t>
            </w:r>
          </w:p>
        </w:tc>
      </w:tr>
      <w:tr w14:paraId="2FD1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2116" w:type="dxa"/>
            <w:vAlign w:val="center"/>
          </w:tcPr>
          <w:p w14:paraId="65B7D619">
            <w:pPr>
              <w:ind w:firstLine="112"/>
              <w:jc w:val="center"/>
              <w:rPr>
                <w:rFonts w:hint="eastAsia" w:ascii="宋体" w:hAnsi="宋体" w:eastAsia="宋体" w:cs="宋体"/>
                <w:color w:val="010302"/>
                <w:lang w:eastAsia="zh-CN"/>
              </w:rPr>
            </w:pPr>
            <w:r>
              <w:rPr>
                <w:rFonts w:hint="eastAsia" w:ascii="宋体" w:hAnsi="宋体" w:eastAsia="宋体" w:cs="宋体"/>
                <w:color w:val="000000"/>
                <w:sz w:val="21"/>
                <w:szCs w:val="21"/>
                <w:lang w:val="en-US" w:eastAsia="zh-CN"/>
              </w:rPr>
              <w:t>分配策略</w:t>
            </w:r>
          </w:p>
        </w:tc>
        <w:tc>
          <w:tcPr>
            <w:tcW w:w="6162" w:type="dxa"/>
          </w:tcPr>
          <w:p w14:paraId="5FFF6D9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目标类型为按委托总股数、按委托总金额时展示此字段，枚举值如下：</w:t>
            </w:r>
          </w:p>
          <w:p w14:paraId="1287698D">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顺序分配</w:t>
            </w:r>
            <w:r>
              <w:rPr>
                <w:rFonts w:hint="eastAsia" w:ascii="宋体" w:hAnsi="宋体" w:eastAsia="宋体" w:cs="宋体"/>
                <w:color w:val="010302"/>
                <w:lang w:val="en-US" w:eastAsia="zh-CN"/>
              </w:rPr>
              <w:t>，即账户列表勾选多个账户时，委托总量按顺序先分配给第一个账户，超出的部分再分给后面的账户；否则全部分给单个账户，超出可买/卖部分去掉</w:t>
            </w:r>
          </w:p>
          <w:p w14:paraId="10F595BD">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可用金额比例分配</w:t>
            </w:r>
            <w:r>
              <w:rPr>
                <w:rFonts w:hint="eastAsia" w:ascii="宋体" w:hAnsi="宋体" w:eastAsia="宋体" w:cs="宋体"/>
                <w:color w:val="010302"/>
                <w:lang w:val="en-US" w:eastAsia="zh-CN"/>
              </w:rPr>
              <w:t>，即按照勾选的账户各自可用金额的比例分配委托数量</w:t>
            </w:r>
          </w:p>
          <w:p w14:paraId="63F712F3">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总资产比例分配</w:t>
            </w:r>
            <w:r>
              <w:rPr>
                <w:rFonts w:hint="eastAsia" w:ascii="宋体" w:hAnsi="宋体" w:eastAsia="宋体" w:cs="宋体"/>
                <w:color w:val="010302"/>
                <w:lang w:val="en-US" w:eastAsia="zh-CN"/>
              </w:rPr>
              <w:t>，即按照勾选的账户各自总资产比例分配委托数量</w:t>
            </w:r>
          </w:p>
          <w:p w14:paraId="730CA58F">
            <w:pPr>
              <w:rPr>
                <w:rFonts w:hint="eastAsia" w:ascii="宋体" w:hAnsi="宋体" w:eastAsia="宋体" w:cs="宋体"/>
                <w:color w:val="010302"/>
                <w:lang w:val="en-US" w:eastAsia="zh-CN"/>
              </w:rPr>
            </w:pPr>
            <w:r>
              <w:rPr>
                <w:rFonts w:hint="eastAsia" w:ascii="宋体" w:hAnsi="宋体" w:eastAsia="宋体" w:cs="宋体"/>
                <w:b/>
                <w:bCs/>
                <w:color w:val="010302"/>
                <w:lang w:val="en-US" w:eastAsia="zh-CN"/>
              </w:rPr>
              <w:t>自定义比例分配</w:t>
            </w:r>
            <w:r>
              <w:rPr>
                <w:rFonts w:hint="eastAsia" w:ascii="宋体" w:hAnsi="宋体" w:eastAsia="宋体" w:cs="宋体"/>
                <w:color w:val="010302"/>
                <w:lang w:val="en-US" w:eastAsia="zh-CN"/>
              </w:rPr>
              <w:t>，即按用户自己设置的比例分配，单个账户时默认100%</w:t>
            </w:r>
          </w:p>
        </w:tc>
      </w:tr>
      <w:tr w14:paraId="23E5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116" w:type="dxa"/>
            <w:vAlign w:val="center"/>
          </w:tcPr>
          <w:p w14:paraId="782448A9">
            <w:pPr>
              <w:ind w:firstLine="112"/>
              <w:jc w:val="center"/>
              <w:rPr>
                <w:rFonts w:hint="eastAsia" w:ascii="宋体" w:hAnsi="宋体" w:eastAsia="宋体" w:cs="宋体"/>
                <w:color w:val="010302"/>
              </w:rPr>
            </w:pPr>
            <w:r>
              <w:rPr>
                <w:rFonts w:hint="eastAsia" w:ascii="宋体" w:hAnsi="宋体" w:eastAsia="宋体" w:cs="宋体"/>
                <w:color w:val="000000"/>
                <w:sz w:val="21"/>
                <w:szCs w:val="21"/>
                <w:lang w:val="en-US" w:eastAsia="zh-CN"/>
              </w:rPr>
              <w:t>目标比例</w:t>
            </w:r>
          </w:p>
        </w:tc>
        <w:tc>
          <w:tcPr>
            <w:tcW w:w="6162" w:type="dxa"/>
          </w:tcPr>
          <w:p w14:paraId="6B24298E">
            <w:pPr>
              <w:rPr>
                <w:rFonts w:hint="eastAsia" w:ascii="宋体" w:hAnsi="宋体" w:eastAsia="宋体" w:cs="宋体"/>
                <w:color w:val="010302"/>
              </w:rPr>
            </w:pPr>
            <w:r>
              <w:rPr>
                <w:rFonts w:hint="eastAsia" w:ascii="宋体" w:hAnsi="宋体" w:eastAsia="宋体" w:cs="宋体"/>
                <w:color w:val="000000"/>
                <w:sz w:val="21"/>
                <w:szCs w:val="21"/>
              </w:rPr>
              <w:t>当</w:t>
            </w:r>
            <w:r>
              <w:rPr>
                <w:rFonts w:hint="eastAsia" w:ascii="宋体" w:hAnsi="宋体" w:eastAsia="宋体" w:cs="宋体"/>
                <w:color w:val="000000"/>
                <w:sz w:val="21"/>
                <w:szCs w:val="21"/>
                <w:lang w:val="en-US" w:eastAsia="zh-CN"/>
              </w:rPr>
              <w:t>目标类型为按总资产比例、按可用资金比例时展示该字段无默认值，快捷比例设置选项：全部（100%）、1/2、1/3、1/4</w:t>
            </w:r>
            <w:r>
              <w:rPr>
                <w:rFonts w:hint="eastAsia" w:ascii="宋体" w:hAnsi="宋体" w:eastAsia="宋体" w:cs="宋体"/>
                <w:color w:val="000000"/>
                <w:sz w:val="21"/>
                <w:szCs w:val="21"/>
              </w:rPr>
              <w:t xml:space="preserve"> </w:t>
            </w:r>
          </w:p>
        </w:tc>
      </w:tr>
    </w:tbl>
    <w:p w14:paraId="07D8ACB2">
      <w:pPr>
        <w:jc w:val="left"/>
        <w:rPr>
          <w:rFonts w:hint="eastAsia" w:ascii="宋体" w:hAnsi="宋体" w:eastAsia="宋体" w:cs="宋体"/>
          <w:lang w:val="en-US" w:eastAsia="zh-CN"/>
        </w:rPr>
      </w:pPr>
    </w:p>
    <w:p w14:paraId="24620A9E">
      <w:pPr>
        <w:jc w:val="left"/>
        <w:rPr>
          <w:rFonts w:hint="eastAsia" w:ascii="宋体" w:hAnsi="宋体" w:eastAsia="宋体" w:cs="宋体"/>
          <w:b/>
          <w:bCs/>
          <w:lang w:val="en-US" w:eastAsia="zh-CN"/>
        </w:rPr>
      </w:pPr>
      <w:r>
        <w:rPr>
          <w:rFonts w:hint="eastAsia" w:ascii="宋体" w:hAnsi="宋体" w:eastAsia="宋体" w:cs="宋体"/>
          <w:b/>
          <w:bCs/>
          <w:lang w:val="en-US" w:eastAsia="zh-CN"/>
        </w:rPr>
        <w:t>交易账户列表</w:t>
      </w:r>
    </w:p>
    <w:p w14:paraId="5D38B9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（1）展示当前用户勾选的全部普通账户，展示字段包括：账户名称、资产账号、委托方向、持仓数量、总资产、可用资金、可买数量、占比/目标比例、委托数量、委托金额、备注。</w:t>
      </w:r>
    </w:p>
    <w:p w14:paraId="732597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（2）勾选账户的复选框时，按照下单面板填写的下单信息自动填充勾选的各账户的委托比例（占比/目标比例）、委托数量。</w:t>
      </w:r>
    </w:p>
    <w:p w14:paraId="67669C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（3）占比/目标比例、委托数量这两个字段支持用户手动修改。</w:t>
      </w:r>
    </w:p>
    <w:p w14:paraId="77468F66">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操作按钮</w:t>
      </w:r>
    </w:p>
    <w:p w14:paraId="154BF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重算，点击按钮，按照下单面板设置的信息重算账户列表中勾选账户的各字段值。</w:t>
      </w:r>
    </w:p>
    <w:p w14:paraId="259F68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下单，点击按钮，按照下单面板设置的委托方向、委托价格，以及账户列表中勾选账户的委托数量下单。</w:t>
      </w:r>
    </w:p>
    <w:p w14:paraId="60E1DA0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委托列表</w:t>
      </w:r>
    </w:p>
    <w:p w14:paraId="682FD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除不支持撤补外，同普通交易的4.1.1.4委托明细。</w:t>
      </w:r>
    </w:p>
    <w:p w14:paraId="261DF20D">
      <w:pPr>
        <w:numPr>
          <w:ilvl w:val="0"/>
          <w:numId w:val="0"/>
        </w:numPr>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4150" cy="1002665"/>
            <wp:effectExtent l="0" t="0" r="12700" b="6985"/>
            <wp:docPr id="1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0"/>
                    <pic:cNvPicPr>
                      <a:picLocks noChangeAspect="1"/>
                    </pic:cNvPicPr>
                  </pic:nvPicPr>
                  <pic:blipFill>
                    <a:blip r:embed="rId30"/>
                    <a:stretch>
                      <a:fillRect/>
                    </a:stretch>
                  </pic:blipFill>
                  <pic:spPr>
                    <a:xfrm>
                      <a:off x="0" y="0"/>
                      <a:ext cx="5264150" cy="1002665"/>
                    </a:xfrm>
                    <a:prstGeom prst="rect">
                      <a:avLst/>
                    </a:prstGeom>
                    <a:noFill/>
                    <a:ln>
                      <a:noFill/>
                    </a:ln>
                  </pic:spPr>
                </pic:pic>
              </a:graphicData>
            </a:graphic>
          </wp:inline>
        </w:drawing>
      </w:r>
    </w:p>
    <w:p w14:paraId="57CC24A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成交列表</w:t>
      </w:r>
    </w:p>
    <w:p w14:paraId="110E0E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交互同普通交易的4.1.1.5成交明细。</w:t>
      </w:r>
    </w:p>
    <w:p w14:paraId="22EBDFCD">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5264150" cy="1002665"/>
            <wp:effectExtent l="0" t="0" r="12700" b="6985"/>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pic:cNvPicPr>
                  </pic:nvPicPr>
                  <pic:blipFill>
                    <a:blip r:embed="rId31"/>
                    <a:stretch>
                      <a:fillRect/>
                    </a:stretch>
                  </pic:blipFill>
                  <pic:spPr>
                    <a:xfrm>
                      <a:off x="0" y="0"/>
                      <a:ext cx="5264150" cy="1002665"/>
                    </a:xfrm>
                    <a:prstGeom prst="rect">
                      <a:avLst/>
                    </a:prstGeom>
                    <a:noFill/>
                    <a:ln>
                      <a:noFill/>
                    </a:ln>
                  </pic:spPr>
                </pic:pic>
              </a:graphicData>
            </a:graphic>
          </wp:inline>
        </w:drawing>
      </w:r>
    </w:p>
    <w:p w14:paraId="3824B60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持仓列表</w:t>
      </w:r>
    </w:p>
    <w:p w14:paraId="225A66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持仓列表展示当前用户关联的全部普通账户的持仓数据，交互同普通交易的4.1.1.2持仓账户资产。</w:t>
      </w:r>
    </w:p>
    <w:p w14:paraId="031A1B62">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rPr>
        <w:drawing>
          <wp:inline distT="0" distB="0" distL="114300" distR="114300">
            <wp:extent cx="5264150" cy="1002665"/>
            <wp:effectExtent l="0" t="0" r="12700" b="6985"/>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pic:cNvPicPr>
                  </pic:nvPicPr>
                  <pic:blipFill>
                    <a:blip r:embed="rId32"/>
                    <a:stretch>
                      <a:fillRect/>
                    </a:stretch>
                  </pic:blipFill>
                  <pic:spPr>
                    <a:xfrm>
                      <a:off x="0" y="0"/>
                      <a:ext cx="5264150" cy="1002665"/>
                    </a:xfrm>
                    <a:prstGeom prst="rect">
                      <a:avLst/>
                    </a:prstGeom>
                    <a:noFill/>
                    <a:ln>
                      <a:noFill/>
                    </a:ln>
                  </pic:spPr>
                </pic:pic>
              </a:graphicData>
            </a:graphic>
          </wp:inline>
        </w:drawing>
      </w:r>
    </w:p>
    <w:p w14:paraId="00B5241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账户资产</w:t>
      </w:r>
    </w:p>
    <w:p w14:paraId="5041B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账户资产列表展示当前用户关联的全部普通账户的资产，支持导出资产明细。</w:t>
      </w:r>
    </w:p>
    <w:p w14:paraId="50F050B3">
      <w:pPr>
        <w:numPr>
          <w:ilvl w:val="0"/>
          <w:numId w:val="0"/>
        </w:numPr>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4150" cy="1002665"/>
            <wp:effectExtent l="0" t="0" r="12700" b="6985"/>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pic:cNvPicPr>
                  </pic:nvPicPr>
                  <pic:blipFill>
                    <a:blip r:embed="rId33"/>
                    <a:stretch>
                      <a:fillRect/>
                    </a:stretch>
                  </pic:blipFill>
                  <pic:spPr>
                    <a:xfrm>
                      <a:off x="0" y="0"/>
                      <a:ext cx="5264150" cy="1002665"/>
                    </a:xfrm>
                    <a:prstGeom prst="rect">
                      <a:avLst/>
                    </a:prstGeom>
                    <a:noFill/>
                    <a:ln>
                      <a:noFill/>
                    </a:ln>
                  </pic:spPr>
                </pic:pic>
              </a:graphicData>
            </a:graphic>
          </wp:inline>
        </w:drawing>
      </w:r>
    </w:p>
    <w:p w14:paraId="1245C854">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18" w:name="_Toc16225"/>
      <w:r>
        <w:rPr>
          <w:rFonts w:hint="eastAsia" w:ascii="宋体" w:hAnsi="宋体" w:eastAsia="宋体" w:cs="宋体"/>
          <w:sz w:val="28"/>
          <w:szCs w:val="28"/>
          <w:lang w:val="en-US" w:eastAsia="zh-CN"/>
        </w:rPr>
        <w:t>期权交易</w:t>
      </w:r>
      <w:bookmarkEnd w:id="18"/>
    </w:p>
    <w:p w14:paraId="75D24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期权交易提供ETF期权基础交易功能，支持上交所、深交所上市的9只ETF标的的期权交易，具体包含：</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4301"/>
        <w:gridCol w:w="2841"/>
      </w:tblGrid>
      <w:tr w14:paraId="43CA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15F9EA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交易所</w:t>
            </w:r>
          </w:p>
        </w:tc>
        <w:tc>
          <w:tcPr>
            <w:tcW w:w="4301" w:type="dxa"/>
            <w:vAlign w:val="center"/>
          </w:tcPr>
          <w:p w14:paraId="3E979F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标的类型</w:t>
            </w:r>
          </w:p>
        </w:tc>
        <w:tc>
          <w:tcPr>
            <w:tcW w:w="2841" w:type="dxa"/>
            <w:vAlign w:val="center"/>
          </w:tcPr>
          <w:p w14:paraId="7BE15B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highlight w:val="none"/>
                <w:vertAlign w:val="baseline"/>
                <w:lang w:val="en-US" w:eastAsia="zh-CN"/>
              </w:rPr>
            </w:pPr>
            <w:r>
              <w:rPr>
                <w:rFonts w:hint="eastAsia" w:ascii="宋体" w:hAnsi="宋体" w:eastAsia="宋体" w:cs="宋体"/>
                <w:b/>
                <w:bCs/>
                <w:highlight w:val="none"/>
                <w:vertAlign w:val="baseline"/>
                <w:lang w:val="en-US" w:eastAsia="zh-CN"/>
              </w:rPr>
              <w:t>标的证券代码</w:t>
            </w:r>
          </w:p>
        </w:tc>
      </w:tr>
      <w:tr w14:paraId="5F4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vAlign w:val="center"/>
          </w:tcPr>
          <w:p w14:paraId="1E665A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上交所</w:t>
            </w:r>
          </w:p>
        </w:tc>
        <w:tc>
          <w:tcPr>
            <w:tcW w:w="4301" w:type="dxa"/>
            <w:vAlign w:val="center"/>
          </w:tcPr>
          <w:p w14:paraId="050708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华夏上证50ETE期权</w:t>
            </w:r>
          </w:p>
        </w:tc>
        <w:tc>
          <w:tcPr>
            <w:tcW w:w="2841" w:type="dxa"/>
            <w:vAlign w:val="center"/>
          </w:tcPr>
          <w:p w14:paraId="1B8D51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510050.SH  50ETF</w:t>
            </w:r>
          </w:p>
        </w:tc>
      </w:tr>
      <w:tr w14:paraId="09BC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40CA7C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40C4BC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华泰柏瑞沪深300ETE期权</w:t>
            </w:r>
          </w:p>
        </w:tc>
        <w:tc>
          <w:tcPr>
            <w:tcW w:w="2841" w:type="dxa"/>
            <w:vAlign w:val="center"/>
          </w:tcPr>
          <w:p w14:paraId="690EC6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510300.SH  300ETF</w:t>
            </w:r>
          </w:p>
        </w:tc>
      </w:tr>
      <w:tr w14:paraId="3F6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53156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6B1EB2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南方中证500ETE期权</w:t>
            </w:r>
          </w:p>
        </w:tc>
        <w:tc>
          <w:tcPr>
            <w:tcW w:w="2841" w:type="dxa"/>
            <w:vAlign w:val="center"/>
          </w:tcPr>
          <w:p w14:paraId="218855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510500.SH  500ETF</w:t>
            </w:r>
          </w:p>
        </w:tc>
      </w:tr>
      <w:tr w14:paraId="234D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5C1F8F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176B7E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华夏上证科创板50ETF期权</w:t>
            </w:r>
          </w:p>
        </w:tc>
        <w:tc>
          <w:tcPr>
            <w:tcW w:w="2841" w:type="dxa"/>
            <w:vAlign w:val="center"/>
          </w:tcPr>
          <w:p w14:paraId="48097E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588000.SH  科创50</w:t>
            </w:r>
          </w:p>
        </w:tc>
      </w:tr>
      <w:tr w14:paraId="3C52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7D00DA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70B300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易方达上证科创板50ETE期权</w:t>
            </w:r>
          </w:p>
        </w:tc>
        <w:tc>
          <w:tcPr>
            <w:tcW w:w="2841" w:type="dxa"/>
            <w:vAlign w:val="center"/>
          </w:tcPr>
          <w:p w14:paraId="3A9B4B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588080.SH  科创板50</w:t>
            </w:r>
          </w:p>
        </w:tc>
      </w:tr>
      <w:tr w14:paraId="205E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0" w:type="dxa"/>
            <w:vMerge w:val="restart"/>
            <w:vAlign w:val="center"/>
          </w:tcPr>
          <w:p w14:paraId="1265C3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深交所</w:t>
            </w:r>
          </w:p>
        </w:tc>
        <w:tc>
          <w:tcPr>
            <w:tcW w:w="4301" w:type="dxa"/>
            <w:vAlign w:val="center"/>
          </w:tcPr>
          <w:p w14:paraId="3EA2D7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易方达深证100ETF期权</w:t>
            </w:r>
          </w:p>
        </w:tc>
        <w:tc>
          <w:tcPr>
            <w:tcW w:w="2841" w:type="dxa"/>
            <w:vAlign w:val="center"/>
          </w:tcPr>
          <w:p w14:paraId="0DDD9E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159901.SZ  深100ETF</w:t>
            </w:r>
          </w:p>
        </w:tc>
      </w:tr>
      <w:tr w14:paraId="1CB4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C3E1C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295B64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易方达创业板ETF期权</w:t>
            </w:r>
          </w:p>
        </w:tc>
        <w:tc>
          <w:tcPr>
            <w:tcW w:w="2841" w:type="dxa"/>
            <w:vAlign w:val="center"/>
          </w:tcPr>
          <w:p w14:paraId="2F3C91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159915.SZ  创业板</w:t>
            </w:r>
          </w:p>
        </w:tc>
      </w:tr>
      <w:tr w14:paraId="26AE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3E9E6D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37EAB4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嘉实沪深300ETF期权</w:t>
            </w:r>
          </w:p>
        </w:tc>
        <w:tc>
          <w:tcPr>
            <w:tcW w:w="2841" w:type="dxa"/>
            <w:vAlign w:val="center"/>
          </w:tcPr>
          <w:p w14:paraId="6AEF0F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159919.SZ  沪深300</w:t>
            </w:r>
          </w:p>
        </w:tc>
      </w:tr>
      <w:tr w14:paraId="7195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vAlign w:val="center"/>
          </w:tcPr>
          <w:p w14:paraId="6D5BF6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p>
        </w:tc>
        <w:tc>
          <w:tcPr>
            <w:tcW w:w="4301" w:type="dxa"/>
            <w:vAlign w:val="center"/>
          </w:tcPr>
          <w:p w14:paraId="097FC5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嘉实中证500ETF期权</w:t>
            </w:r>
          </w:p>
        </w:tc>
        <w:tc>
          <w:tcPr>
            <w:tcW w:w="2841" w:type="dxa"/>
            <w:vAlign w:val="center"/>
          </w:tcPr>
          <w:p w14:paraId="6C7AA8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159922.SZ  500ETF</w:t>
            </w:r>
          </w:p>
        </w:tc>
      </w:tr>
    </w:tbl>
    <w:p w14:paraId="7A2C3E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该模块包含：通用期权持仓、期权账户资产、闪电下单，T型行情，委托明细，成交明</w:t>
      </w:r>
      <w:r>
        <w:rPr>
          <w:rFonts w:hint="eastAsia" w:ascii="宋体" w:hAnsi="宋体" w:eastAsia="宋体" w:cs="宋体"/>
          <w:lang w:val="en-US" w:eastAsia="zh-CN"/>
        </w:rPr>
        <w:t>细，交易面板等功能模块，界面如下：</w:t>
      </w:r>
    </w:p>
    <w:p w14:paraId="6F4DC8DE">
      <w:pPr>
        <w:rPr>
          <w:rFonts w:hint="eastAsia" w:ascii="宋体" w:hAnsi="宋体" w:eastAsia="宋体" w:cs="宋体"/>
        </w:rPr>
      </w:pPr>
      <w:r>
        <w:rPr>
          <w:rFonts w:hint="eastAsia" w:ascii="宋体" w:hAnsi="宋体" w:eastAsia="宋体" w:cs="宋体"/>
        </w:rPr>
        <w:drawing>
          <wp:inline distT="0" distB="0" distL="114300" distR="114300">
            <wp:extent cx="5266690" cy="2653665"/>
            <wp:effectExtent l="0" t="0" r="1270" b="1905"/>
            <wp:docPr id="1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
                    <pic:cNvPicPr>
                      <a:picLocks noChangeAspect="1"/>
                    </pic:cNvPicPr>
                  </pic:nvPicPr>
                  <pic:blipFill>
                    <a:blip r:embed="rId34"/>
                    <a:srcRect t="6989"/>
                    <a:stretch>
                      <a:fillRect/>
                    </a:stretch>
                  </pic:blipFill>
                  <pic:spPr>
                    <a:xfrm>
                      <a:off x="0" y="0"/>
                      <a:ext cx="5266690" cy="2653665"/>
                    </a:xfrm>
                    <a:prstGeom prst="rect">
                      <a:avLst/>
                    </a:prstGeom>
                    <a:noFill/>
                    <a:ln>
                      <a:noFill/>
                    </a:ln>
                  </pic:spPr>
                </pic:pic>
              </a:graphicData>
            </a:graphic>
          </wp:inline>
        </w:drawing>
      </w:r>
    </w:p>
    <w:p w14:paraId="733AD09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通用期权持仓</w:t>
      </w:r>
    </w:p>
    <w:p w14:paraId="5FA8D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当前资产账号当日的持仓记录，展示用户持仓类型，浮动盈亏，时间价值和涨跌幅等，支持按不同字段排序、筛选持仓列表，支持拖动列表字段调整字段排序，支持导出表格、设置列表字段的展示和隐藏。</w:t>
      </w:r>
    </w:p>
    <w:p w14:paraId="1C89CD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表格列显隐设置弹窗，勾选的的字段展示，未勾选的字段隐藏。</w:t>
      </w:r>
    </w:p>
    <w:p w14:paraId="5AEB0F0F">
      <w:pPr>
        <w:jc w:val="center"/>
        <w:rPr>
          <w:rFonts w:hint="eastAsia" w:ascii="宋体" w:hAnsi="宋体" w:eastAsia="宋体" w:cs="宋体"/>
        </w:rPr>
      </w:pPr>
      <w:r>
        <w:rPr>
          <w:rFonts w:hint="eastAsia" w:ascii="宋体" w:hAnsi="宋体" w:eastAsia="宋体" w:cs="宋体"/>
        </w:rPr>
        <w:drawing>
          <wp:inline distT="0" distB="0" distL="114300" distR="114300">
            <wp:extent cx="2661285" cy="2117090"/>
            <wp:effectExtent l="0" t="0" r="5080" b="952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5"/>
                    <a:stretch>
                      <a:fillRect/>
                    </a:stretch>
                  </pic:blipFill>
                  <pic:spPr>
                    <a:xfrm>
                      <a:off x="0" y="0"/>
                      <a:ext cx="2661285" cy="2117090"/>
                    </a:xfrm>
                    <a:prstGeom prst="rect">
                      <a:avLst/>
                    </a:prstGeom>
                    <a:noFill/>
                    <a:ln>
                      <a:noFill/>
                    </a:ln>
                  </pic:spPr>
                </pic:pic>
              </a:graphicData>
            </a:graphic>
          </wp:inline>
        </w:drawing>
      </w:r>
    </w:p>
    <w:p w14:paraId="2BF8A9F9">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期权账户资产</w:t>
      </w:r>
    </w:p>
    <w:p w14:paraId="1FB5C6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展示当前用户关联的全部期权账户的资产信息，包括期初金额、当前金额、可用金额、占用保证金、可用保证金等信息。</w:t>
      </w:r>
    </w:p>
    <w:p w14:paraId="0FFED169">
      <w:pPr>
        <w:jc w:val="center"/>
        <w:rPr>
          <w:rFonts w:hint="eastAsia" w:ascii="宋体" w:hAnsi="宋体" w:eastAsia="宋体" w:cs="宋体"/>
        </w:rPr>
      </w:pPr>
      <w:r>
        <w:rPr>
          <w:rFonts w:hint="eastAsia" w:ascii="宋体" w:hAnsi="宋体" w:eastAsia="宋体" w:cs="宋体"/>
        </w:rPr>
        <w:drawing>
          <wp:inline distT="0" distB="0" distL="114300" distR="114300">
            <wp:extent cx="4086225" cy="2517775"/>
            <wp:effectExtent l="0" t="0" r="5080" b="8255"/>
            <wp:docPr id="1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5"/>
                    <pic:cNvPicPr>
                      <a:picLocks noChangeAspect="1"/>
                    </pic:cNvPicPr>
                  </pic:nvPicPr>
                  <pic:blipFill>
                    <a:blip r:embed="rId36"/>
                    <a:stretch>
                      <a:fillRect/>
                    </a:stretch>
                  </pic:blipFill>
                  <pic:spPr>
                    <a:xfrm>
                      <a:off x="0" y="0"/>
                      <a:ext cx="4086225" cy="2517775"/>
                    </a:xfrm>
                    <a:prstGeom prst="rect">
                      <a:avLst/>
                    </a:prstGeom>
                    <a:noFill/>
                    <a:ln>
                      <a:noFill/>
                    </a:ln>
                  </pic:spPr>
                </pic:pic>
              </a:graphicData>
            </a:graphic>
          </wp:inline>
        </w:drawing>
      </w:r>
    </w:p>
    <w:p w14:paraId="4D128D5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闪电下单</w:t>
      </w:r>
    </w:p>
    <w:p w14:paraId="34E3E4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闪电下单面板，支持用户快速设置下单信息实现快速下单。</w:t>
      </w:r>
    </w:p>
    <w:p w14:paraId="0F86ACF6">
      <w:pPr>
        <w:jc w:val="center"/>
        <w:rPr>
          <w:rFonts w:hint="eastAsia" w:ascii="宋体" w:hAnsi="宋体" w:eastAsia="宋体" w:cs="宋体"/>
        </w:rPr>
      </w:pPr>
      <w:r>
        <w:rPr>
          <w:rFonts w:hint="eastAsia" w:ascii="宋体" w:hAnsi="宋体" w:eastAsia="宋体" w:cs="宋体"/>
        </w:rPr>
        <w:drawing>
          <wp:inline distT="0" distB="0" distL="114300" distR="114300">
            <wp:extent cx="4336415" cy="2672080"/>
            <wp:effectExtent l="0" t="0" r="3175" b="5080"/>
            <wp:docPr id="1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6"/>
                    <pic:cNvPicPr>
                      <a:picLocks noChangeAspect="1"/>
                    </pic:cNvPicPr>
                  </pic:nvPicPr>
                  <pic:blipFill>
                    <a:blip r:embed="rId37"/>
                    <a:stretch>
                      <a:fillRect/>
                    </a:stretch>
                  </pic:blipFill>
                  <pic:spPr>
                    <a:xfrm>
                      <a:off x="0" y="0"/>
                      <a:ext cx="4336415" cy="2672080"/>
                    </a:xfrm>
                    <a:prstGeom prst="rect">
                      <a:avLst/>
                    </a:prstGeom>
                    <a:noFill/>
                    <a:ln>
                      <a:noFill/>
                    </a:ln>
                  </pic:spPr>
                </pic:pic>
              </a:graphicData>
            </a:graphic>
          </wp:inline>
        </w:drawing>
      </w:r>
    </w:p>
    <w:p w14:paraId="128679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闪电下单面板个字段说明如下；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4425"/>
        <w:gridCol w:w="2074"/>
      </w:tblGrid>
      <w:tr w14:paraId="0E54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14:paraId="570FF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字段名称</w:t>
            </w:r>
          </w:p>
        </w:tc>
        <w:tc>
          <w:tcPr>
            <w:tcW w:w="4425" w:type="dxa"/>
          </w:tcPr>
          <w:p w14:paraId="62231B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说明</w:t>
            </w:r>
          </w:p>
        </w:tc>
        <w:tc>
          <w:tcPr>
            <w:tcW w:w="2074" w:type="dxa"/>
          </w:tcPr>
          <w:p w14:paraId="257BD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备注</w:t>
            </w:r>
          </w:p>
        </w:tc>
      </w:tr>
      <w:tr w14:paraId="1ACB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F435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资产账号</w:t>
            </w:r>
          </w:p>
        </w:tc>
        <w:tc>
          <w:tcPr>
            <w:tcW w:w="4425" w:type="dxa"/>
          </w:tcPr>
          <w:p w14:paraId="158002A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下拉单选框，展示当前用户绑定的全部资产号，点击选中自动填充</w:t>
            </w:r>
          </w:p>
        </w:tc>
        <w:tc>
          <w:tcPr>
            <w:tcW w:w="2074" w:type="dxa"/>
          </w:tcPr>
          <w:p w14:paraId="1DF945D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6814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4420F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期权名称</w:t>
            </w:r>
          </w:p>
        </w:tc>
        <w:tc>
          <w:tcPr>
            <w:tcW w:w="4425" w:type="dxa"/>
          </w:tcPr>
          <w:p w14:paraId="7D0A86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输入合约代码自动展示对应的期权名称</w:t>
            </w:r>
          </w:p>
        </w:tc>
        <w:tc>
          <w:tcPr>
            <w:tcW w:w="2074" w:type="dxa"/>
          </w:tcPr>
          <w:p w14:paraId="3D5B4CB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4CAA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12FB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合约代码</w:t>
            </w:r>
          </w:p>
        </w:tc>
        <w:tc>
          <w:tcPr>
            <w:tcW w:w="4425" w:type="dxa"/>
          </w:tcPr>
          <w:p w14:paraId="476E01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支持手动输入合约代码，输入框支持联想</w:t>
            </w:r>
          </w:p>
          <w:p w14:paraId="333191E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双击T型行情中的标的时，可自动给填充对应的合约代码</w:t>
            </w:r>
          </w:p>
        </w:tc>
        <w:tc>
          <w:tcPr>
            <w:tcW w:w="2074" w:type="dxa"/>
          </w:tcPr>
          <w:p w14:paraId="4F73DE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7BCC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6399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现价</w:t>
            </w:r>
          </w:p>
        </w:tc>
        <w:tc>
          <w:tcPr>
            <w:tcW w:w="4425" w:type="dxa"/>
          </w:tcPr>
          <w:p w14:paraId="56EA06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当前合约的最新价</w:t>
            </w:r>
          </w:p>
        </w:tc>
        <w:tc>
          <w:tcPr>
            <w:tcW w:w="2074" w:type="dxa"/>
          </w:tcPr>
          <w:p w14:paraId="39E5F6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DFF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E72FB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多仓/空仓/净持仓</w:t>
            </w:r>
          </w:p>
        </w:tc>
        <w:tc>
          <w:tcPr>
            <w:tcW w:w="4425" w:type="dxa"/>
          </w:tcPr>
          <w:p w14:paraId="0495B6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当前资产账号持有当前合约的持仓情况</w:t>
            </w:r>
          </w:p>
        </w:tc>
        <w:tc>
          <w:tcPr>
            <w:tcW w:w="2074" w:type="dxa"/>
          </w:tcPr>
          <w:p w14:paraId="49A180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E3B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311EE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净仓</w:t>
            </w:r>
          </w:p>
        </w:tc>
        <w:tc>
          <w:tcPr>
            <w:tcW w:w="4425" w:type="dxa"/>
          </w:tcPr>
          <w:p w14:paraId="24ED7F8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勾选该选项，当前资产账号持有当前标的，下单方向和持仓方向相反时，则执行先平后开的下单逻辑</w:t>
            </w:r>
          </w:p>
          <w:p w14:paraId="207637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例：当前持有当前合约权利仓100张，闪电下单卖出150张，则分两笔下单平仓权利仓100张合约，开仓义务仓50张合约</w:t>
            </w:r>
          </w:p>
        </w:tc>
        <w:tc>
          <w:tcPr>
            <w:tcW w:w="2074" w:type="dxa"/>
          </w:tcPr>
          <w:p w14:paraId="0262A5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若当前资产账号有未成交委托，则不执行先平后开逻辑，只有一笔开仓委托</w:t>
            </w:r>
          </w:p>
        </w:tc>
      </w:tr>
      <w:tr w14:paraId="08AD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2DE83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买/卖挂单</w:t>
            </w:r>
          </w:p>
        </w:tc>
        <w:tc>
          <w:tcPr>
            <w:tcW w:w="4425" w:type="dxa"/>
          </w:tcPr>
          <w:p w14:paraId="66C351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当前资产账号对当前合约的挂单情况</w:t>
            </w:r>
          </w:p>
        </w:tc>
        <w:tc>
          <w:tcPr>
            <w:tcW w:w="2074" w:type="dxa"/>
          </w:tcPr>
          <w:p w14:paraId="390A04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153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15FB0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行情价格展示</w:t>
            </w:r>
          </w:p>
        </w:tc>
        <w:tc>
          <w:tcPr>
            <w:tcW w:w="4425" w:type="dxa"/>
          </w:tcPr>
          <w:p w14:paraId="6A15964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单选项，分为盘口价格（默认选项）、详细价格</w:t>
            </w:r>
          </w:p>
        </w:tc>
        <w:tc>
          <w:tcPr>
            <w:tcW w:w="2074" w:type="dxa"/>
          </w:tcPr>
          <w:p w14:paraId="4081930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59B1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5E464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行情盘口</w:t>
            </w:r>
          </w:p>
        </w:tc>
        <w:tc>
          <w:tcPr>
            <w:tcW w:w="4425" w:type="dxa"/>
          </w:tcPr>
          <w:p w14:paraId="3F564F5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选择盘口价格时，展示买卖五档盘口价格及对应的挂单数</w:t>
            </w:r>
          </w:p>
          <w:p w14:paraId="7F0F6E5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选择详细价格时，按最小单位价格变动展示标的价格及对应挂单数</w:t>
            </w:r>
          </w:p>
        </w:tc>
        <w:tc>
          <w:tcPr>
            <w:tcW w:w="2074" w:type="dxa"/>
          </w:tcPr>
          <w:p w14:paraId="51CFC0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075B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0BB463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市买/市卖</w:t>
            </w:r>
          </w:p>
        </w:tc>
        <w:tc>
          <w:tcPr>
            <w:tcW w:w="4425" w:type="dxa"/>
          </w:tcPr>
          <w:p w14:paraId="689EC3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点击“市买”按涨停价委托限价单买入标的</w:t>
            </w:r>
          </w:p>
          <w:p w14:paraId="0062EA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点击“市卖”按跌停价委托限价单卖出标的</w:t>
            </w:r>
          </w:p>
        </w:tc>
        <w:tc>
          <w:tcPr>
            <w:tcW w:w="2074" w:type="dxa"/>
          </w:tcPr>
          <w:p w14:paraId="37167A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395E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71FDE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买/卖</w:t>
            </w:r>
          </w:p>
        </w:tc>
        <w:tc>
          <w:tcPr>
            <w:tcW w:w="4425" w:type="dxa"/>
          </w:tcPr>
          <w:p w14:paraId="79A4E5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点击按钮，按委托价格输入框输入的价格买入/卖出标的</w:t>
            </w:r>
          </w:p>
        </w:tc>
        <w:tc>
          <w:tcPr>
            <w:tcW w:w="2074" w:type="dxa"/>
          </w:tcPr>
          <w:p w14:paraId="70EA41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7C2C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67B87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委托价格</w:t>
            </w:r>
          </w:p>
        </w:tc>
        <w:tc>
          <w:tcPr>
            <w:tcW w:w="4425" w:type="dxa"/>
          </w:tcPr>
          <w:p w14:paraId="098B5C4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数字输入框，选中标的后默认填充为最新价</w:t>
            </w:r>
          </w:p>
          <w:p w14:paraId="79DF6D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支持手动修改</w:t>
            </w:r>
          </w:p>
        </w:tc>
        <w:tc>
          <w:tcPr>
            <w:tcW w:w="2074" w:type="dxa"/>
          </w:tcPr>
          <w:p w14:paraId="7475A8E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r w14:paraId="4BFF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vAlign w:val="center"/>
          </w:tcPr>
          <w:p w14:paraId="19884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委托数量</w:t>
            </w:r>
          </w:p>
        </w:tc>
        <w:tc>
          <w:tcPr>
            <w:tcW w:w="4425" w:type="dxa"/>
          </w:tcPr>
          <w:p w14:paraId="39E76F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默认为0，点击常用数量（+1/+5/+10/+20）则自动添加对应的委托数量</w:t>
            </w:r>
          </w:p>
        </w:tc>
        <w:tc>
          <w:tcPr>
            <w:tcW w:w="2074" w:type="dxa"/>
          </w:tcPr>
          <w:p w14:paraId="16757D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p>
        </w:tc>
      </w:tr>
    </w:tbl>
    <w:p w14:paraId="784E47D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T型行情</w:t>
      </w:r>
    </w:p>
    <w:p w14:paraId="4E2129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T型行情支持沪深市场切换及合约标的切换，便于查看不同期权品种的行情。</w:t>
      </w:r>
    </w:p>
    <w:p w14:paraId="32C836A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521585"/>
            <wp:effectExtent l="0" t="0" r="10160" b="1206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8"/>
                    <a:stretch>
                      <a:fillRect/>
                    </a:stretch>
                  </pic:blipFill>
                  <pic:spPr>
                    <a:xfrm>
                      <a:off x="0" y="0"/>
                      <a:ext cx="5266690" cy="2521585"/>
                    </a:xfrm>
                    <a:prstGeom prst="rect">
                      <a:avLst/>
                    </a:prstGeom>
                    <a:noFill/>
                    <a:ln>
                      <a:noFill/>
                    </a:ln>
                  </pic:spPr>
                </pic:pic>
              </a:graphicData>
            </a:graphic>
          </wp:inline>
        </w:drawing>
      </w:r>
    </w:p>
    <w:p w14:paraId="4C7AE7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drawing>
          <wp:inline distT="0" distB="0" distL="114300" distR="114300">
            <wp:extent cx="5266690" cy="2445385"/>
            <wp:effectExtent l="0" t="0" r="1016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tretch>
                      <a:fillRect/>
                    </a:stretch>
                  </pic:blipFill>
                  <pic:spPr>
                    <a:xfrm>
                      <a:off x="0" y="0"/>
                      <a:ext cx="5266690" cy="2445385"/>
                    </a:xfrm>
                    <a:prstGeom prst="rect">
                      <a:avLst/>
                    </a:prstGeom>
                    <a:noFill/>
                    <a:ln>
                      <a:noFill/>
                    </a:ln>
                  </pic:spPr>
                </pic:pic>
              </a:graphicData>
            </a:graphic>
          </wp:inline>
        </w:drawing>
      </w:r>
    </w:p>
    <w:p w14:paraId="51D446D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7A741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1、委托明细。</w:t>
      </w:r>
    </w:p>
    <w:p w14:paraId="012DDE60">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9230" cy="2043430"/>
            <wp:effectExtent l="0" t="0" r="7620" b="13970"/>
            <wp:docPr id="1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8"/>
                    <pic:cNvPicPr>
                      <a:picLocks noChangeAspect="1"/>
                    </pic:cNvPicPr>
                  </pic:nvPicPr>
                  <pic:blipFill>
                    <a:blip r:embed="rId40"/>
                    <a:stretch>
                      <a:fillRect/>
                    </a:stretch>
                  </pic:blipFill>
                  <pic:spPr>
                    <a:xfrm>
                      <a:off x="0" y="0"/>
                      <a:ext cx="5269230" cy="2043430"/>
                    </a:xfrm>
                    <a:prstGeom prst="rect">
                      <a:avLst/>
                    </a:prstGeom>
                    <a:noFill/>
                    <a:ln>
                      <a:noFill/>
                    </a:ln>
                  </pic:spPr>
                </pic:pic>
              </a:graphicData>
            </a:graphic>
          </wp:inline>
        </w:drawing>
      </w:r>
    </w:p>
    <w:p w14:paraId="1585D6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（1）委托明细列表当前交易面板选中资产账号当日的委托记录，支持资产账号、合约代码和委托状态（全部/可撤/废单）筛选委托列表。</w:t>
      </w:r>
    </w:p>
    <w:p w14:paraId="553CCB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（2）支持点击委托列栏上的快捷按钮，进行撤单、全撤操作。</w:t>
      </w:r>
    </w:p>
    <w:p w14:paraId="04EB74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撤单 &amp; 全撤：对未成交或部分成交的委托，进行“撤单”或者“全撤”操作。</w:t>
      </w:r>
    </w:p>
    <w:p w14:paraId="30E534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（3）展示方式，默认展示明细，勾选“按篮子号汇总”则切换为按篮子号汇总展示委托明细</w:t>
      </w:r>
    </w:p>
    <w:p w14:paraId="4DEB83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2、成交明细。</w:t>
      </w:r>
    </w:p>
    <w:p w14:paraId="2A64A1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成交明细列表分别展示当前交易面板选中资产账号当日的成交记录。</w:t>
      </w:r>
    </w:p>
    <w:p w14:paraId="5D0C5A2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9230" cy="2043430"/>
            <wp:effectExtent l="0" t="0" r="7620" b="13970"/>
            <wp:docPr id="1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9"/>
                    <pic:cNvPicPr>
                      <a:picLocks noChangeAspect="1"/>
                    </pic:cNvPicPr>
                  </pic:nvPicPr>
                  <pic:blipFill>
                    <a:blip r:embed="rId41"/>
                    <a:stretch>
                      <a:fillRect/>
                    </a:stretch>
                  </pic:blipFill>
                  <pic:spPr>
                    <a:xfrm>
                      <a:off x="0" y="0"/>
                      <a:ext cx="5269230" cy="2043430"/>
                    </a:xfrm>
                    <a:prstGeom prst="rect">
                      <a:avLst/>
                    </a:prstGeom>
                    <a:noFill/>
                    <a:ln>
                      <a:noFill/>
                    </a:ln>
                  </pic:spPr>
                </pic:pic>
              </a:graphicData>
            </a:graphic>
          </wp:inline>
        </w:drawing>
      </w:r>
    </w:p>
    <w:p w14:paraId="0C1F9F3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普通期权交易下单面板</w:t>
      </w:r>
    </w:p>
    <w:p w14:paraId="2C93DF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3A101EF3">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5269230" cy="3048000"/>
            <wp:effectExtent l="0" t="0" r="7620" b="0"/>
            <wp:docPr id="1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0"/>
                    <pic:cNvPicPr>
                      <a:picLocks noChangeAspect="1"/>
                    </pic:cNvPicPr>
                  </pic:nvPicPr>
                  <pic:blipFill>
                    <a:blip r:embed="rId42"/>
                    <a:stretch>
                      <a:fillRect/>
                    </a:stretch>
                  </pic:blipFill>
                  <pic:spPr>
                    <a:xfrm>
                      <a:off x="0" y="0"/>
                      <a:ext cx="5269230" cy="3048000"/>
                    </a:xfrm>
                    <a:prstGeom prst="rect">
                      <a:avLst/>
                    </a:prstGeom>
                    <a:noFill/>
                    <a:ln>
                      <a:noFill/>
                    </a:ln>
                  </pic:spPr>
                </pic:pic>
              </a:graphicData>
            </a:graphic>
          </wp:inline>
        </w:drawing>
      </w:r>
    </w:p>
    <w:p w14:paraId="709B02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委托下单的操作流程包括以下步骤：   </w:t>
      </w:r>
    </w:p>
    <w:p w14:paraId="1C17C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1. 选择资产账号，通过点击下拉框选择当前用户关联的期货资产账号。当切换资产账号时，资金列表、委托明细、成交明细、持仓明细等信息都将同步切换为当前选中的资产账号的数据信息。  </w:t>
      </w:r>
    </w:p>
    <w:p w14:paraId="32D0F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2.输入交易要素，包括合约代码、委托数量和委托价格三大要素。</w:t>
      </w:r>
    </w:p>
    <w:p w14:paraId="28DFC1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（1）合约代码支持手工输入或双击行情（包括左侧行情盘口、T型行情）获取。</w:t>
      </w:r>
    </w:p>
    <w:p w14:paraId="75E08E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（2）委托价格支持限价和市价。</w:t>
      </w:r>
    </w:p>
    <w:p w14:paraId="50BF6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限价是指用户输入的固定价格。</w:t>
      </w:r>
    </w:p>
    <w:p w14:paraId="6B866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市价是指用户按市价指令下单，支持即时成交剩余转限价，即时成交剩余撤销，剩余转限价等。</w:t>
      </w:r>
    </w:p>
    <w:p w14:paraId="4428C1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3.下单，支持买开、卖开、买平、卖平4种交易方向下单。</w:t>
      </w:r>
    </w:p>
    <w:p w14:paraId="00C8AECE">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highlight w:val="none"/>
          <w:lang w:val="en-US" w:eastAsia="zh-CN"/>
        </w:rPr>
      </w:pPr>
      <w:bookmarkStart w:id="19" w:name="_Toc5037"/>
      <w:r>
        <w:rPr>
          <w:rFonts w:hint="eastAsia" w:ascii="宋体" w:hAnsi="宋体" w:eastAsia="宋体" w:cs="宋体"/>
          <w:sz w:val="28"/>
          <w:szCs w:val="28"/>
          <w:highlight w:val="none"/>
          <w:lang w:val="en-US" w:eastAsia="zh-CN"/>
        </w:rPr>
        <w:t>期货交易</w:t>
      </w:r>
      <w:bookmarkEnd w:id="19"/>
    </w:p>
    <w:p w14:paraId="1A3984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期货交易提供期货基础交易功能，支持</w:t>
      </w:r>
      <w:r>
        <w:rPr>
          <w:rFonts w:hint="default" w:ascii="宋体" w:hAnsi="宋体" w:eastAsia="宋体" w:cs="宋体"/>
          <w:highlight w:val="none"/>
          <w:lang w:val="en-US" w:eastAsia="zh-CN"/>
        </w:rPr>
        <w:t>中金</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大商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郑商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上能源</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上期</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广期</w:t>
      </w:r>
      <w:r>
        <w:rPr>
          <w:rFonts w:hint="eastAsia" w:ascii="宋体" w:hAnsi="宋体" w:eastAsia="宋体" w:cs="宋体"/>
          <w:highlight w:val="none"/>
          <w:lang w:val="en-US" w:eastAsia="zh-CN"/>
        </w:rPr>
        <w:t>所等六大交易所的所有期货品种的交易。该模块包含：资金列表、自选行情列表、交易面</w:t>
      </w:r>
      <w:r>
        <w:rPr>
          <w:rFonts w:hint="eastAsia" w:ascii="宋体" w:hAnsi="宋体" w:eastAsia="宋体" w:cs="宋体"/>
          <w:lang w:val="en-US" w:eastAsia="zh-CN"/>
        </w:rPr>
        <w:t>板、委托明细、成交明细、持仓明细等六大功能模块，界面如下：</w:t>
      </w:r>
    </w:p>
    <w:p w14:paraId="6AF437FC">
      <w:pPr>
        <w:rPr>
          <w:rFonts w:hint="eastAsia" w:ascii="宋体" w:hAnsi="宋体" w:eastAsia="宋体" w:cs="宋体"/>
        </w:rPr>
      </w:pPr>
      <w:r>
        <w:rPr>
          <w:rFonts w:hint="eastAsia" w:ascii="宋体" w:hAnsi="宋体" w:eastAsia="宋体" w:cs="宋体"/>
        </w:rPr>
        <w:drawing>
          <wp:inline distT="0" distB="0" distL="114300" distR="114300">
            <wp:extent cx="5266690" cy="2657475"/>
            <wp:effectExtent l="0" t="0" r="0" b="0"/>
            <wp:docPr id="1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1"/>
                    <pic:cNvPicPr>
                      <a:picLocks noChangeAspect="1"/>
                    </pic:cNvPicPr>
                  </pic:nvPicPr>
                  <pic:blipFill>
                    <a:blip r:embed="rId43"/>
                    <a:srcRect t="6855"/>
                    <a:stretch>
                      <a:fillRect/>
                    </a:stretch>
                  </pic:blipFill>
                  <pic:spPr>
                    <a:xfrm>
                      <a:off x="0" y="0"/>
                      <a:ext cx="5266690" cy="2657475"/>
                    </a:xfrm>
                    <a:prstGeom prst="rect">
                      <a:avLst/>
                    </a:prstGeom>
                    <a:noFill/>
                    <a:ln>
                      <a:noFill/>
                    </a:ln>
                  </pic:spPr>
                </pic:pic>
              </a:graphicData>
            </a:graphic>
          </wp:inline>
        </w:drawing>
      </w:r>
    </w:p>
    <w:p w14:paraId="2CA2823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资金列表</w:t>
      </w:r>
    </w:p>
    <w:p w14:paraId="441E77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展示当前下单面板中选中的期货账户的资金信息。</w:t>
      </w:r>
    </w:p>
    <w:p w14:paraId="3D5CFCB5">
      <w:pPr>
        <w:rPr>
          <w:rFonts w:hint="eastAsia" w:ascii="宋体" w:hAnsi="宋体" w:eastAsia="宋体" w:cs="宋体"/>
        </w:rPr>
      </w:pPr>
      <w:r>
        <w:rPr>
          <w:rFonts w:hint="eastAsia" w:ascii="宋体" w:hAnsi="宋体" w:eastAsia="宋体" w:cs="宋体"/>
        </w:rPr>
        <w:drawing>
          <wp:inline distT="0" distB="0" distL="114300" distR="114300">
            <wp:extent cx="5274310" cy="520065"/>
            <wp:effectExtent l="0" t="0" r="2540" b="13335"/>
            <wp:docPr id="16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2"/>
                    <pic:cNvPicPr>
                      <a:picLocks noChangeAspect="1"/>
                    </pic:cNvPicPr>
                  </pic:nvPicPr>
                  <pic:blipFill>
                    <a:blip r:embed="rId44"/>
                    <a:stretch>
                      <a:fillRect/>
                    </a:stretch>
                  </pic:blipFill>
                  <pic:spPr>
                    <a:xfrm>
                      <a:off x="0" y="0"/>
                      <a:ext cx="5274310" cy="520065"/>
                    </a:xfrm>
                    <a:prstGeom prst="rect">
                      <a:avLst/>
                    </a:prstGeom>
                    <a:noFill/>
                    <a:ln>
                      <a:noFill/>
                    </a:ln>
                  </pic:spPr>
                </pic:pic>
              </a:graphicData>
            </a:graphic>
          </wp:inline>
        </w:drawing>
      </w:r>
    </w:p>
    <w:p w14:paraId="23B19A71">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自选行情列表</w:t>
      </w:r>
    </w:p>
    <w:p w14:paraId="7B2C88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自选合约实时行情，可以通过在行情列表的右上角搜索框输入合约代码添加自选合约，搜索框支持模糊匹配。</w:t>
      </w:r>
    </w:p>
    <w:p w14:paraId="5BB567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支持鼠标右击已添加的自选合约进行上移、下移、置顶、置底、删除等排序操作（如下图所示）。</w:t>
      </w:r>
    </w:p>
    <w:p w14:paraId="73C2F0EC">
      <w:pPr>
        <w:jc w:val="center"/>
        <w:rPr>
          <w:rFonts w:hint="eastAsia" w:ascii="宋体" w:hAnsi="宋体" w:eastAsia="宋体" w:cs="宋体"/>
        </w:rPr>
      </w:pPr>
      <w:r>
        <w:rPr>
          <w:rFonts w:hint="eastAsia" w:ascii="宋体" w:hAnsi="宋体" w:eastAsia="宋体" w:cs="宋体"/>
        </w:rPr>
        <w:drawing>
          <wp:inline distT="0" distB="0" distL="114300" distR="114300">
            <wp:extent cx="5264785" cy="2165985"/>
            <wp:effectExtent l="0" t="0" r="12065" b="5715"/>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3"/>
                    <pic:cNvPicPr>
                      <a:picLocks noChangeAspect="1"/>
                    </pic:cNvPicPr>
                  </pic:nvPicPr>
                  <pic:blipFill>
                    <a:blip r:embed="rId45"/>
                    <a:stretch>
                      <a:fillRect/>
                    </a:stretch>
                  </pic:blipFill>
                  <pic:spPr>
                    <a:xfrm>
                      <a:off x="0" y="0"/>
                      <a:ext cx="5264785" cy="2165985"/>
                    </a:xfrm>
                    <a:prstGeom prst="rect">
                      <a:avLst/>
                    </a:prstGeom>
                    <a:noFill/>
                    <a:ln>
                      <a:noFill/>
                    </a:ln>
                  </pic:spPr>
                </pic:pic>
              </a:graphicData>
            </a:graphic>
          </wp:inline>
        </w:drawing>
      </w:r>
    </w:p>
    <w:p w14:paraId="08770E0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交易面板</w:t>
      </w:r>
    </w:p>
    <w:p w14:paraId="72D184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16D9566C">
      <w:pPr>
        <w:jc w:val="center"/>
        <w:rPr>
          <w:rFonts w:hint="eastAsia" w:ascii="宋体" w:hAnsi="宋体" w:eastAsia="宋体" w:cs="宋体"/>
        </w:rPr>
      </w:pPr>
      <w:r>
        <w:rPr>
          <w:rFonts w:hint="eastAsia" w:ascii="宋体" w:hAnsi="宋体" w:eastAsia="宋体" w:cs="宋体"/>
        </w:rPr>
        <w:drawing>
          <wp:inline distT="0" distB="0" distL="114300" distR="114300">
            <wp:extent cx="4702175" cy="3370580"/>
            <wp:effectExtent l="0" t="0" r="4445" b="8255"/>
            <wp:docPr id="1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4"/>
                    <pic:cNvPicPr>
                      <a:picLocks noChangeAspect="1"/>
                    </pic:cNvPicPr>
                  </pic:nvPicPr>
                  <pic:blipFill>
                    <a:blip r:embed="rId46"/>
                    <a:stretch>
                      <a:fillRect/>
                    </a:stretch>
                  </pic:blipFill>
                  <pic:spPr>
                    <a:xfrm>
                      <a:off x="0" y="0"/>
                      <a:ext cx="4702175" cy="3370580"/>
                    </a:xfrm>
                    <a:prstGeom prst="rect">
                      <a:avLst/>
                    </a:prstGeom>
                    <a:noFill/>
                    <a:ln>
                      <a:noFill/>
                    </a:ln>
                  </pic:spPr>
                </pic:pic>
              </a:graphicData>
            </a:graphic>
          </wp:inline>
        </w:drawing>
      </w:r>
    </w:p>
    <w:p w14:paraId="6A870C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委托下单的操作流程包括以下步骤：</w:t>
      </w:r>
    </w:p>
    <w:p w14:paraId="208DB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1.选择资产账号，通过点击下拉框选择当前用户关联的期货资产账号。当切换资产账号时，资金列表、委托明细、成交明细、持仓明细等信息都将同步切换为当前选中的资产账号的数据信息。</w:t>
      </w:r>
    </w:p>
    <w:p w14:paraId="2AE3E2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2.输入交易要素，包括合约代码、委托数量和委托价格三大要素。</w:t>
      </w:r>
    </w:p>
    <w:p w14:paraId="446FEF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（1）合约代码支持手工输入或点击行情获取（包括点击五档行情价格或点击自选行情列表）。</w:t>
      </w:r>
    </w:p>
    <w:p w14:paraId="38CA90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（2）委托价格支持指定价和跟盘价，指定价是指用户输入的固定价格，跟盘价是指跟随盘面行情实时变动的价格，最终取值以下单确认时刻的盘面价为准。</w:t>
      </w:r>
    </w:p>
    <w:p w14:paraId="08829E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跟盘价取值说明：</w:t>
      </w:r>
    </w:p>
    <w:p w14:paraId="236F92E9">
      <w:pPr>
        <w:numPr>
          <w:ilvl w:val="0"/>
          <w:numId w:val="0"/>
        </w:numPr>
        <w:rPr>
          <w:rFonts w:hint="eastAsia" w:ascii="宋体" w:hAnsi="宋体" w:eastAsia="宋体" w:cs="宋体"/>
          <w:lang w:val="en-US" w:eastAsia="zh-CN"/>
        </w:rPr>
      </w:pPr>
    </w:p>
    <w:tbl>
      <w:tblPr>
        <w:tblStyle w:val="21"/>
        <w:tblpPr w:vertAnchor="text" w:horzAnchor="page" w:tblpX="1800" w:tblpY="-270"/>
        <w:tblOverlap w:val="never"/>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4"/>
        <w:gridCol w:w="2668"/>
        <w:gridCol w:w="1895"/>
        <w:gridCol w:w="2250"/>
      </w:tblGrid>
      <w:tr w14:paraId="4371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1474" w:type="dxa"/>
          </w:tcPr>
          <w:p w14:paraId="45AA2F97">
            <w:pPr>
              <w:ind w:firstLine="112"/>
              <w:jc w:val="center"/>
              <w:rPr>
                <w:rFonts w:hint="eastAsia" w:ascii="宋体" w:hAnsi="宋体" w:eastAsia="宋体" w:cs="宋体"/>
                <w:b/>
                <w:bCs/>
                <w:color w:val="010302"/>
              </w:rPr>
            </w:pPr>
            <w:r>
              <w:rPr>
                <w:rFonts w:hint="eastAsia" w:ascii="宋体" w:hAnsi="宋体" w:eastAsia="宋体" w:cs="宋体"/>
                <w:b/>
                <w:bCs/>
                <w:color w:val="000000"/>
                <w:sz w:val="18"/>
                <w:szCs w:val="18"/>
              </w:rPr>
              <w:t>跟盘价</w:t>
            </w:r>
          </w:p>
        </w:tc>
        <w:tc>
          <w:tcPr>
            <w:tcW w:w="2668" w:type="dxa"/>
          </w:tcPr>
          <w:p w14:paraId="58F0A11B">
            <w:pPr>
              <w:ind w:firstLine="113"/>
              <w:jc w:val="center"/>
              <w:rPr>
                <w:rFonts w:hint="eastAsia" w:ascii="宋体" w:hAnsi="宋体" w:eastAsia="宋体" w:cs="宋体"/>
                <w:b/>
                <w:bCs/>
                <w:color w:val="010302"/>
              </w:rPr>
            </w:pPr>
            <w:r>
              <w:rPr>
                <w:rFonts w:hint="eastAsia" w:ascii="宋体" w:hAnsi="宋体" w:eastAsia="宋体" w:cs="宋体"/>
                <w:b/>
                <w:bCs/>
                <w:color w:val="000000"/>
                <w:sz w:val="18"/>
                <w:szCs w:val="18"/>
              </w:rPr>
              <w:t>买单</w:t>
            </w:r>
          </w:p>
        </w:tc>
        <w:tc>
          <w:tcPr>
            <w:tcW w:w="1895" w:type="dxa"/>
          </w:tcPr>
          <w:p w14:paraId="1014D0B5">
            <w:pPr>
              <w:ind w:firstLine="113"/>
              <w:jc w:val="center"/>
              <w:rPr>
                <w:rFonts w:hint="eastAsia" w:ascii="宋体" w:hAnsi="宋体" w:eastAsia="宋体" w:cs="宋体"/>
                <w:b/>
                <w:bCs/>
                <w:color w:val="010302"/>
              </w:rPr>
            </w:pPr>
            <w:r>
              <w:rPr>
                <w:rFonts w:hint="eastAsia" w:ascii="宋体" w:hAnsi="宋体" w:eastAsia="宋体" w:cs="宋体"/>
                <w:b/>
                <w:bCs/>
                <w:color w:val="000000"/>
                <w:sz w:val="18"/>
                <w:szCs w:val="18"/>
              </w:rPr>
              <w:t>卖单</w:t>
            </w:r>
          </w:p>
        </w:tc>
        <w:tc>
          <w:tcPr>
            <w:tcW w:w="2250" w:type="dxa"/>
          </w:tcPr>
          <w:p w14:paraId="2929278D">
            <w:pPr>
              <w:ind w:firstLine="113"/>
              <w:jc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备注</w:t>
            </w:r>
          </w:p>
        </w:tc>
      </w:tr>
      <w:tr w14:paraId="3AF2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7733594E">
            <w:pPr>
              <w:ind w:firstLine="112"/>
              <w:jc w:val="center"/>
              <w:rPr>
                <w:rFonts w:hint="eastAsia" w:ascii="宋体" w:hAnsi="宋体" w:eastAsia="宋体" w:cs="宋体"/>
                <w:color w:val="010302"/>
              </w:rPr>
            </w:pPr>
            <w:r>
              <w:rPr>
                <w:rFonts w:hint="eastAsia" w:ascii="宋体" w:hAnsi="宋体" w:eastAsia="宋体" w:cs="宋体"/>
                <w:color w:val="000000"/>
                <w:sz w:val="18"/>
                <w:szCs w:val="18"/>
              </w:rPr>
              <w:t>对手价</w:t>
            </w:r>
          </w:p>
        </w:tc>
        <w:tc>
          <w:tcPr>
            <w:tcW w:w="2668" w:type="dxa"/>
          </w:tcPr>
          <w:p w14:paraId="4FF080F0">
            <w:pPr>
              <w:ind w:firstLine="113"/>
              <w:jc w:val="center"/>
              <w:rPr>
                <w:rFonts w:hint="eastAsia" w:ascii="宋体" w:hAnsi="宋体" w:eastAsia="宋体" w:cs="宋体"/>
                <w:color w:val="010302"/>
              </w:rPr>
            </w:pPr>
            <w:r>
              <w:rPr>
                <w:rFonts w:hint="eastAsia" w:ascii="宋体" w:hAnsi="宋体" w:eastAsia="宋体" w:cs="宋体"/>
                <w:color w:val="000000"/>
                <w:sz w:val="18"/>
                <w:szCs w:val="18"/>
              </w:rPr>
              <w:t>卖一价</w:t>
            </w:r>
          </w:p>
        </w:tc>
        <w:tc>
          <w:tcPr>
            <w:tcW w:w="1895" w:type="dxa"/>
          </w:tcPr>
          <w:p w14:paraId="58D3F635">
            <w:pPr>
              <w:ind w:firstLine="113"/>
              <w:jc w:val="center"/>
              <w:rPr>
                <w:rFonts w:hint="eastAsia" w:ascii="宋体" w:hAnsi="宋体" w:eastAsia="宋体" w:cs="宋体"/>
                <w:color w:val="010302"/>
              </w:rPr>
            </w:pPr>
            <w:r>
              <w:rPr>
                <w:rFonts w:hint="eastAsia" w:ascii="宋体" w:hAnsi="宋体" w:eastAsia="宋体" w:cs="宋体"/>
                <w:color w:val="000000"/>
                <w:sz w:val="18"/>
                <w:szCs w:val="18"/>
              </w:rPr>
              <w:t>买一价</w:t>
            </w:r>
          </w:p>
        </w:tc>
        <w:tc>
          <w:tcPr>
            <w:tcW w:w="2250" w:type="dxa"/>
          </w:tcPr>
          <w:p w14:paraId="427F69FD">
            <w:pPr>
              <w:ind w:firstLine="113"/>
              <w:jc w:val="center"/>
              <w:rPr>
                <w:rFonts w:hint="eastAsia" w:ascii="宋体" w:hAnsi="宋体" w:eastAsia="宋体" w:cs="宋体"/>
                <w:color w:val="000000"/>
                <w:sz w:val="18"/>
                <w:szCs w:val="18"/>
              </w:rPr>
            </w:pPr>
          </w:p>
        </w:tc>
      </w:tr>
      <w:tr w14:paraId="08BE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213E402C">
            <w:pPr>
              <w:ind w:firstLine="112"/>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2668" w:type="dxa"/>
          </w:tcPr>
          <w:p w14:paraId="0DD8273F">
            <w:pPr>
              <w:ind w:firstLine="113"/>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1895" w:type="dxa"/>
          </w:tcPr>
          <w:p w14:paraId="11B49DDB">
            <w:pPr>
              <w:ind w:firstLine="113"/>
              <w:jc w:val="center"/>
              <w:rPr>
                <w:rFonts w:hint="eastAsia" w:ascii="宋体" w:hAnsi="宋体" w:eastAsia="宋体" w:cs="宋体"/>
                <w:color w:val="010302"/>
              </w:rPr>
            </w:pPr>
            <w:r>
              <w:rPr>
                <w:rFonts w:hint="eastAsia" w:ascii="宋体" w:hAnsi="宋体" w:eastAsia="宋体" w:cs="宋体"/>
                <w:color w:val="000000"/>
                <w:sz w:val="18"/>
                <w:szCs w:val="18"/>
              </w:rPr>
              <w:t>最新价</w:t>
            </w:r>
          </w:p>
        </w:tc>
        <w:tc>
          <w:tcPr>
            <w:tcW w:w="2250" w:type="dxa"/>
          </w:tcPr>
          <w:p w14:paraId="2719297B">
            <w:pPr>
              <w:ind w:firstLine="113"/>
              <w:jc w:val="center"/>
              <w:rPr>
                <w:rFonts w:hint="eastAsia" w:ascii="宋体" w:hAnsi="宋体" w:eastAsia="宋体" w:cs="宋体"/>
                <w:color w:val="000000"/>
                <w:sz w:val="18"/>
                <w:szCs w:val="18"/>
              </w:rPr>
            </w:pPr>
          </w:p>
        </w:tc>
      </w:tr>
      <w:tr w14:paraId="243A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rPr>
        <w:tc>
          <w:tcPr>
            <w:tcW w:w="1474" w:type="dxa"/>
          </w:tcPr>
          <w:p w14:paraId="01CAC324">
            <w:pPr>
              <w:ind w:firstLine="112"/>
              <w:jc w:val="center"/>
              <w:rPr>
                <w:rFonts w:hint="eastAsia" w:ascii="宋体" w:hAnsi="宋体" w:eastAsia="宋体" w:cs="宋体"/>
                <w:color w:val="010302"/>
              </w:rPr>
            </w:pPr>
            <w:r>
              <w:rPr>
                <w:rFonts w:hint="eastAsia" w:ascii="宋体" w:hAnsi="宋体" w:eastAsia="宋体" w:cs="宋体"/>
                <w:color w:val="000000"/>
                <w:sz w:val="18"/>
                <w:szCs w:val="18"/>
              </w:rPr>
              <w:t>挂单价</w:t>
            </w:r>
          </w:p>
        </w:tc>
        <w:tc>
          <w:tcPr>
            <w:tcW w:w="2668" w:type="dxa"/>
          </w:tcPr>
          <w:p w14:paraId="02E2168D">
            <w:pPr>
              <w:ind w:firstLine="113"/>
              <w:jc w:val="center"/>
              <w:rPr>
                <w:rFonts w:hint="eastAsia" w:ascii="宋体" w:hAnsi="宋体" w:eastAsia="宋体" w:cs="宋体"/>
                <w:color w:val="010302"/>
              </w:rPr>
            </w:pPr>
            <w:r>
              <w:rPr>
                <w:rFonts w:hint="eastAsia" w:ascii="宋体" w:hAnsi="宋体" w:eastAsia="宋体" w:cs="宋体"/>
                <w:color w:val="000000"/>
                <w:sz w:val="18"/>
                <w:szCs w:val="18"/>
              </w:rPr>
              <w:t>买一价</w:t>
            </w:r>
          </w:p>
        </w:tc>
        <w:tc>
          <w:tcPr>
            <w:tcW w:w="1895" w:type="dxa"/>
          </w:tcPr>
          <w:p w14:paraId="6EB5498F">
            <w:pPr>
              <w:ind w:firstLine="113"/>
              <w:jc w:val="center"/>
              <w:rPr>
                <w:rFonts w:hint="eastAsia" w:ascii="宋体" w:hAnsi="宋体" w:eastAsia="宋体" w:cs="宋体"/>
                <w:color w:val="010302"/>
              </w:rPr>
            </w:pPr>
            <w:r>
              <w:rPr>
                <w:rFonts w:hint="eastAsia" w:ascii="宋体" w:hAnsi="宋体" w:eastAsia="宋体" w:cs="宋体"/>
                <w:color w:val="000000"/>
                <w:sz w:val="18"/>
                <w:szCs w:val="18"/>
              </w:rPr>
              <w:t>卖一价</w:t>
            </w:r>
          </w:p>
        </w:tc>
        <w:tc>
          <w:tcPr>
            <w:tcW w:w="2250" w:type="dxa"/>
          </w:tcPr>
          <w:p w14:paraId="6615B655">
            <w:pPr>
              <w:ind w:firstLine="113"/>
              <w:jc w:val="center"/>
              <w:rPr>
                <w:rFonts w:hint="eastAsia" w:ascii="宋体" w:hAnsi="宋体" w:eastAsia="宋体" w:cs="宋体"/>
                <w:color w:val="000000"/>
                <w:sz w:val="18"/>
                <w:szCs w:val="18"/>
              </w:rPr>
            </w:pPr>
          </w:p>
        </w:tc>
      </w:tr>
      <w:tr w14:paraId="5F5F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1A68974B">
            <w:pPr>
              <w:ind w:firstLine="112"/>
              <w:jc w:val="center"/>
              <w:rPr>
                <w:rFonts w:hint="eastAsia" w:ascii="宋体" w:hAnsi="宋体" w:eastAsia="宋体" w:cs="宋体"/>
                <w:color w:val="010302"/>
              </w:rPr>
            </w:pPr>
            <w:r>
              <w:rPr>
                <w:rFonts w:hint="eastAsia" w:ascii="宋体" w:hAnsi="宋体" w:eastAsia="宋体" w:cs="宋体"/>
                <w:color w:val="000000"/>
                <w:sz w:val="18"/>
                <w:szCs w:val="18"/>
              </w:rPr>
              <w:t>涨跌停价</w:t>
            </w:r>
          </w:p>
        </w:tc>
        <w:tc>
          <w:tcPr>
            <w:tcW w:w="2668" w:type="dxa"/>
          </w:tcPr>
          <w:p w14:paraId="735A9CCD">
            <w:pPr>
              <w:ind w:firstLine="113"/>
              <w:jc w:val="center"/>
              <w:rPr>
                <w:rFonts w:hint="eastAsia" w:ascii="宋体" w:hAnsi="宋体" w:eastAsia="宋体" w:cs="宋体"/>
                <w:color w:val="010302"/>
              </w:rPr>
            </w:pPr>
            <w:r>
              <w:rPr>
                <w:rFonts w:hint="eastAsia" w:ascii="宋体" w:hAnsi="宋体" w:eastAsia="宋体" w:cs="宋体"/>
                <w:color w:val="000000"/>
                <w:sz w:val="18"/>
                <w:szCs w:val="18"/>
              </w:rPr>
              <w:t>涨停价</w:t>
            </w:r>
          </w:p>
        </w:tc>
        <w:tc>
          <w:tcPr>
            <w:tcW w:w="1895" w:type="dxa"/>
          </w:tcPr>
          <w:p w14:paraId="586492B5">
            <w:pPr>
              <w:ind w:firstLine="113"/>
              <w:jc w:val="center"/>
              <w:rPr>
                <w:rFonts w:hint="eastAsia" w:ascii="宋体" w:hAnsi="宋体" w:eastAsia="宋体" w:cs="宋体"/>
                <w:color w:val="010302"/>
              </w:rPr>
            </w:pPr>
            <w:r>
              <w:rPr>
                <w:rFonts w:hint="eastAsia" w:ascii="宋体" w:hAnsi="宋体" w:eastAsia="宋体" w:cs="宋体"/>
                <w:color w:val="000000"/>
                <w:sz w:val="18"/>
                <w:szCs w:val="18"/>
              </w:rPr>
              <w:t>跌停价</w:t>
            </w:r>
          </w:p>
        </w:tc>
        <w:tc>
          <w:tcPr>
            <w:tcW w:w="2250" w:type="dxa"/>
          </w:tcPr>
          <w:p w14:paraId="7F7A4586">
            <w:pPr>
              <w:ind w:firstLine="113"/>
              <w:jc w:val="center"/>
              <w:rPr>
                <w:rFonts w:hint="eastAsia" w:ascii="宋体" w:hAnsi="宋体" w:eastAsia="宋体" w:cs="宋体"/>
                <w:color w:val="000000"/>
                <w:sz w:val="18"/>
                <w:szCs w:val="18"/>
              </w:rPr>
            </w:pPr>
          </w:p>
        </w:tc>
      </w:tr>
      <w:tr w14:paraId="07AE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474" w:type="dxa"/>
          </w:tcPr>
          <w:p w14:paraId="2C267F28">
            <w:pPr>
              <w:ind w:firstLine="112"/>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2668" w:type="dxa"/>
          </w:tcPr>
          <w:p w14:paraId="4350C126">
            <w:pPr>
              <w:ind w:firstLine="113"/>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1895" w:type="dxa"/>
          </w:tcPr>
          <w:p w14:paraId="7969CBBC">
            <w:pPr>
              <w:ind w:firstLine="113"/>
              <w:jc w:val="center"/>
              <w:rPr>
                <w:rFonts w:hint="eastAsia" w:ascii="宋体" w:hAnsi="宋体" w:eastAsia="宋体" w:cs="宋体"/>
                <w:color w:val="010302"/>
              </w:rPr>
            </w:pPr>
            <w:r>
              <w:rPr>
                <w:rFonts w:hint="eastAsia" w:ascii="宋体" w:hAnsi="宋体" w:eastAsia="宋体" w:cs="宋体"/>
                <w:color w:val="000000"/>
                <w:sz w:val="18"/>
                <w:szCs w:val="18"/>
              </w:rPr>
              <w:t>市价</w:t>
            </w:r>
          </w:p>
        </w:tc>
        <w:tc>
          <w:tcPr>
            <w:tcW w:w="2250" w:type="dxa"/>
          </w:tcPr>
          <w:p w14:paraId="0338B456">
            <w:pPr>
              <w:ind w:firstLine="113"/>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上期所品种不支持市价</w:t>
            </w:r>
          </w:p>
        </w:tc>
      </w:tr>
    </w:tbl>
    <w:p w14:paraId="5EB24C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3.点击下单按钮下单，支持买开、卖开、买平、卖平4种交易方向下单。 </w:t>
      </w:r>
    </w:p>
    <w:p w14:paraId="1B172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备注：标的选择上期所品种时，支持优先平今仓，如下图所示：</w:t>
      </w:r>
    </w:p>
    <w:p w14:paraId="2BF08BA5">
      <w:pPr>
        <w:bidi w:val="0"/>
        <w:jc w:val="center"/>
        <w:rPr>
          <w:rFonts w:hint="eastAsia" w:ascii="宋体" w:hAnsi="宋体" w:eastAsia="宋体" w:cs="宋体"/>
        </w:rPr>
      </w:pPr>
      <w:r>
        <w:rPr>
          <w:rFonts w:hint="eastAsia" w:ascii="宋体" w:hAnsi="宋体" w:eastAsia="宋体" w:cs="宋体"/>
        </w:rPr>
        <w:drawing>
          <wp:inline distT="0" distB="0" distL="114300" distR="114300">
            <wp:extent cx="4608195" cy="3303270"/>
            <wp:effectExtent l="0" t="0" r="1270" b="0"/>
            <wp:docPr id="1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5"/>
                    <pic:cNvPicPr>
                      <a:picLocks noChangeAspect="1"/>
                    </pic:cNvPicPr>
                  </pic:nvPicPr>
                  <pic:blipFill>
                    <a:blip r:embed="rId47"/>
                    <a:stretch>
                      <a:fillRect/>
                    </a:stretch>
                  </pic:blipFill>
                  <pic:spPr>
                    <a:xfrm>
                      <a:off x="0" y="0"/>
                      <a:ext cx="4608195" cy="3303270"/>
                    </a:xfrm>
                    <a:prstGeom prst="rect">
                      <a:avLst/>
                    </a:prstGeom>
                    <a:noFill/>
                    <a:ln>
                      <a:noFill/>
                    </a:ln>
                  </pic:spPr>
                </pic:pic>
              </a:graphicData>
            </a:graphic>
          </wp:inline>
        </w:drawing>
      </w:r>
    </w:p>
    <w:p w14:paraId="56433879">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037303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委托明细列表和成交列表分别展示交易面板当前选中资产账号当日的委托记录和成交记录。</w:t>
      </w:r>
    </w:p>
    <w:p w14:paraId="1190DC7E">
      <w:pPr>
        <w:numPr>
          <w:ilvl w:val="0"/>
          <w:numId w:val="6"/>
        </w:numPr>
        <w:bidi w:val="0"/>
        <w:rPr>
          <w:rFonts w:hint="eastAsia" w:ascii="宋体" w:hAnsi="宋体" w:eastAsia="宋体" w:cs="宋体"/>
          <w:b/>
          <w:bCs/>
          <w:lang w:val="en-US" w:eastAsia="zh-CN"/>
        </w:rPr>
      </w:pPr>
      <w:r>
        <w:rPr>
          <w:rFonts w:hint="eastAsia" w:ascii="宋体" w:hAnsi="宋体" w:eastAsia="宋体" w:cs="宋体"/>
          <w:b/>
          <w:bCs/>
          <w:lang w:val="en-US" w:eastAsia="zh-CN"/>
        </w:rPr>
        <w:t>委托明细</w:t>
      </w:r>
    </w:p>
    <w:p w14:paraId="1750256E">
      <w:pPr>
        <w:numPr>
          <w:ilvl w:val="0"/>
          <w:numId w:val="0"/>
        </w:numPr>
        <w:bidi w:val="0"/>
        <w:rPr>
          <w:rFonts w:hint="eastAsia" w:ascii="宋体" w:hAnsi="宋体" w:eastAsia="宋体" w:cs="宋体"/>
          <w:lang w:val="en-US" w:eastAsia="zh-CN"/>
        </w:rPr>
      </w:pPr>
      <w:r>
        <w:rPr>
          <w:rFonts w:hint="eastAsia" w:ascii="宋体" w:hAnsi="宋体" w:eastAsia="宋体" w:cs="宋体"/>
        </w:rPr>
        <w:drawing>
          <wp:inline distT="0" distB="0" distL="114300" distR="114300">
            <wp:extent cx="5266690" cy="1454785"/>
            <wp:effectExtent l="0" t="0" r="10160" b="12065"/>
            <wp:docPr id="1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6"/>
                    <pic:cNvPicPr>
                      <a:picLocks noChangeAspect="1"/>
                    </pic:cNvPicPr>
                  </pic:nvPicPr>
                  <pic:blipFill>
                    <a:blip r:embed="rId48"/>
                    <a:stretch>
                      <a:fillRect/>
                    </a:stretch>
                  </pic:blipFill>
                  <pic:spPr>
                    <a:xfrm>
                      <a:off x="0" y="0"/>
                      <a:ext cx="5266690" cy="1454785"/>
                    </a:xfrm>
                    <a:prstGeom prst="rect">
                      <a:avLst/>
                    </a:prstGeom>
                    <a:noFill/>
                    <a:ln>
                      <a:noFill/>
                    </a:ln>
                  </pic:spPr>
                </pic:pic>
              </a:graphicData>
            </a:graphic>
          </wp:inline>
        </w:drawing>
      </w:r>
    </w:p>
    <w:p w14:paraId="0C650E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支持按资产账号、证券代码、交易员和委托状态（全部、可撤、废单）筛选委托记录。</w:t>
      </w:r>
    </w:p>
    <w:p w14:paraId="7C8B56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右键点击列表中可撤的委托记录或点击列表右上方委托列栏上的快捷按钮，进行撤单、全撤以及改单操作：  </w:t>
      </w:r>
    </w:p>
    <w:p w14:paraId="35671A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1）撤单&amp;全撤：对未成交或部分成交的委托，进行“撤单”或者“全撤”操作。   </w:t>
      </w:r>
    </w:p>
    <w:p w14:paraId="447808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2）改单：基于先撤后下的原则，改单时先将委托中未成交部分撤单，若撤单不成功，则提 示改单失败，原委托继续生效，若撤单成功，按修改后的委托价格下达新委托。  </w:t>
      </w:r>
    </w:p>
    <w:p w14:paraId="1D13833B">
      <w:pPr>
        <w:bidi w:val="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b/>
          <w:bCs/>
          <w:lang w:val="en-US" w:eastAsia="zh-CN"/>
        </w:rPr>
        <w:t>成交明细</w:t>
      </w:r>
    </w:p>
    <w:p w14:paraId="2385B7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支持按资产账号、证券代码和交易员筛选成交记录。</w:t>
      </w:r>
    </w:p>
    <w:p w14:paraId="72EF7D43">
      <w:pPr>
        <w:bidi w:val="0"/>
        <w:rPr>
          <w:rFonts w:hint="eastAsia" w:ascii="宋体" w:hAnsi="宋体" w:eastAsia="宋体" w:cs="宋体"/>
        </w:rPr>
      </w:pPr>
      <w:r>
        <w:rPr>
          <w:rFonts w:hint="eastAsia" w:ascii="宋体" w:hAnsi="宋体" w:eastAsia="宋体" w:cs="宋体"/>
        </w:rPr>
        <w:drawing>
          <wp:inline distT="0" distB="0" distL="114300" distR="114300">
            <wp:extent cx="5266690" cy="1454785"/>
            <wp:effectExtent l="0" t="0" r="10160" b="12065"/>
            <wp:docPr id="1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7"/>
                    <pic:cNvPicPr>
                      <a:picLocks noChangeAspect="1"/>
                    </pic:cNvPicPr>
                  </pic:nvPicPr>
                  <pic:blipFill>
                    <a:blip r:embed="rId49"/>
                    <a:stretch>
                      <a:fillRect/>
                    </a:stretch>
                  </pic:blipFill>
                  <pic:spPr>
                    <a:xfrm>
                      <a:off x="0" y="0"/>
                      <a:ext cx="5266690" cy="1454785"/>
                    </a:xfrm>
                    <a:prstGeom prst="rect">
                      <a:avLst/>
                    </a:prstGeom>
                    <a:noFill/>
                    <a:ln>
                      <a:noFill/>
                    </a:ln>
                  </pic:spPr>
                </pic:pic>
              </a:graphicData>
            </a:graphic>
          </wp:inline>
        </w:drawing>
      </w:r>
    </w:p>
    <w:p w14:paraId="7FC74B8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持仓列表</w:t>
      </w:r>
    </w:p>
    <w:p w14:paraId="71ED5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持仓列表展示交易面板当前选中资产账号当日的持仓记录。支持右击持仓记录或点击持仓栏上的快捷 按钮，进行反手、锁仓以及全平操作：</w:t>
      </w:r>
    </w:p>
    <w:p w14:paraId="73A0BC5E">
      <w:pPr>
        <w:rPr>
          <w:rFonts w:hint="eastAsia" w:ascii="宋体" w:hAnsi="宋体" w:eastAsia="宋体" w:cs="宋体"/>
        </w:rPr>
      </w:pPr>
      <w:r>
        <w:rPr>
          <w:rFonts w:hint="eastAsia" w:ascii="宋体" w:hAnsi="宋体" w:eastAsia="宋体" w:cs="宋体"/>
        </w:rPr>
        <w:drawing>
          <wp:inline distT="0" distB="0" distL="114300" distR="114300">
            <wp:extent cx="5266690" cy="1301750"/>
            <wp:effectExtent l="0" t="0" r="10160" b="12700"/>
            <wp:docPr id="1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8"/>
                    <pic:cNvPicPr>
                      <a:picLocks noChangeAspect="1"/>
                    </pic:cNvPicPr>
                  </pic:nvPicPr>
                  <pic:blipFill>
                    <a:blip r:embed="rId50"/>
                    <a:stretch>
                      <a:fillRect/>
                    </a:stretch>
                  </pic:blipFill>
                  <pic:spPr>
                    <a:xfrm>
                      <a:off x="0" y="0"/>
                      <a:ext cx="5266690" cy="1301750"/>
                    </a:xfrm>
                    <a:prstGeom prst="rect">
                      <a:avLst/>
                    </a:prstGeom>
                    <a:noFill/>
                    <a:ln>
                      <a:noFill/>
                    </a:ln>
                  </pic:spPr>
                </pic:pic>
              </a:graphicData>
            </a:graphic>
          </wp:inline>
        </w:drawing>
      </w:r>
    </w:p>
    <w:p w14:paraId="7DCFFF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1）全平：所有可平持仓一次全部平仓。</w:t>
      </w:r>
    </w:p>
    <w:p w14:paraId="4467F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备注：因为上期所品种不支持市价指令，所以此处上期所品种的委托价格选择“市价”时，实际上是用限价指令以涨停价下单。</w:t>
      </w:r>
    </w:p>
    <w:p w14:paraId="687C9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2）反手：已有的持仓平仓并反向开仓。持仓列表中选中一条持仓，点击“反手”按钮， 即发出两条委托：第一条是平持仓，第二条是同一标的反方向相同数量开仓。二次确认弹窗中确认后下单，如下图所示（反手AP404的两手多仓）。</w:t>
      </w:r>
    </w:p>
    <w:p w14:paraId="14BCD94C">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9865" cy="2256155"/>
            <wp:effectExtent l="0" t="0" r="6985" b="10795"/>
            <wp:docPr id="9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7"/>
                    <pic:cNvPicPr>
                      <a:picLocks noChangeAspect="1"/>
                    </pic:cNvPicPr>
                  </pic:nvPicPr>
                  <pic:blipFill>
                    <a:blip r:embed="rId51"/>
                    <a:stretch>
                      <a:fillRect/>
                    </a:stretch>
                  </pic:blipFill>
                  <pic:spPr>
                    <a:xfrm>
                      <a:off x="0" y="0"/>
                      <a:ext cx="5269865" cy="2256155"/>
                    </a:xfrm>
                    <a:prstGeom prst="rect">
                      <a:avLst/>
                    </a:prstGeom>
                    <a:noFill/>
                    <a:ln>
                      <a:noFill/>
                    </a:ln>
                  </pic:spPr>
                </pic:pic>
              </a:graphicData>
            </a:graphic>
          </wp:inline>
        </w:drawing>
      </w:r>
    </w:p>
    <w:p w14:paraId="47DB36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3）锁仓：对已有的持仓反向开仓，即开仓相同数量，方向相反的相同合约。  </w:t>
      </w:r>
    </w:p>
    <w:p w14:paraId="5D2FEAA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0" w:name="_Toc24527"/>
      <w:r>
        <w:rPr>
          <w:rFonts w:hint="eastAsia" w:ascii="宋体" w:hAnsi="宋体" w:eastAsia="宋体" w:cs="宋体"/>
          <w:sz w:val="28"/>
          <w:szCs w:val="28"/>
          <w:lang w:val="en-US" w:eastAsia="zh-CN"/>
        </w:rPr>
        <w:t>期货期权交易</w:t>
      </w:r>
      <w:bookmarkEnd w:id="20"/>
    </w:p>
    <w:p w14:paraId="3D769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highlight w:val="none"/>
          <w:lang w:val="en-US" w:eastAsia="zh-CN"/>
        </w:rPr>
        <w:t>期货期权交易提供期货期权基础交易功能，支持</w:t>
      </w:r>
      <w:r>
        <w:rPr>
          <w:rFonts w:hint="default" w:ascii="宋体" w:hAnsi="宋体" w:eastAsia="宋体" w:cs="宋体"/>
          <w:highlight w:val="none"/>
          <w:lang w:val="en-US" w:eastAsia="zh-CN"/>
        </w:rPr>
        <w:t>中金</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大商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郑商</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上能源</w:t>
      </w:r>
      <w:r>
        <w:rPr>
          <w:rFonts w:hint="eastAsia" w:ascii="宋体" w:hAnsi="宋体" w:eastAsia="宋体" w:cs="宋体"/>
          <w:highlight w:val="none"/>
          <w:lang w:val="en-US" w:eastAsia="zh-CN"/>
        </w:rPr>
        <w:t>、</w:t>
      </w:r>
      <w:r>
        <w:rPr>
          <w:rFonts w:hint="default" w:ascii="宋体" w:hAnsi="宋体" w:eastAsia="宋体" w:cs="宋体"/>
          <w:highlight w:val="none"/>
          <w:lang w:val="en-US" w:eastAsia="zh-CN"/>
        </w:rPr>
        <w:t>上期</w:t>
      </w:r>
      <w:r>
        <w:rPr>
          <w:rFonts w:hint="eastAsia" w:ascii="宋体" w:hAnsi="宋体" w:eastAsia="宋体" w:cs="宋体"/>
          <w:highlight w:val="none"/>
          <w:lang w:val="en-US" w:eastAsia="zh-CN"/>
        </w:rPr>
        <w:t>所、</w:t>
      </w:r>
      <w:r>
        <w:rPr>
          <w:rFonts w:hint="default" w:ascii="宋体" w:hAnsi="宋体" w:eastAsia="宋体" w:cs="宋体"/>
          <w:highlight w:val="none"/>
          <w:lang w:val="en-US" w:eastAsia="zh-CN"/>
        </w:rPr>
        <w:t>广期</w:t>
      </w:r>
      <w:r>
        <w:rPr>
          <w:rFonts w:hint="eastAsia" w:ascii="宋体" w:hAnsi="宋体" w:eastAsia="宋体" w:cs="宋体"/>
          <w:highlight w:val="none"/>
          <w:lang w:val="en-US" w:eastAsia="zh-CN"/>
        </w:rPr>
        <w:t>所等六大交易所的所有期货期权品种的交易。该模块包含：期货期权持仓列表、</w:t>
      </w:r>
      <w:r>
        <w:rPr>
          <w:rFonts w:hint="eastAsia" w:ascii="宋体" w:hAnsi="宋体" w:eastAsia="宋体" w:cs="宋体"/>
          <w:lang w:val="en-US" w:eastAsia="zh-CN"/>
        </w:rPr>
        <w:t>期货期权账户资产、期货期权闪电下单、期货期权T型行情、委托明细、成交明细和交易面板，如下图所示：</w:t>
      </w:r>
    </w:p>
    <w:p w14:paraId="3F2B6024">
      <w:pPr>
        <w:jc w:val="center"/>
        <w:rPr>
          <w:rFonts w:hint="eastAsia" w:ascii="宋体" w:hAnsi="宋体" w:eastAsia="宋体" w:cs="宋体"/>
        </w:rPr>
      </w:pPr>
      <w:r>
        <w:rPr>
          <w:rFonts w:hint="eastAsia" w:ascii="宋体" w:hAnsi="宋体" w:eastAsia="宋体" w:cs="宋体"/>
        </w:rPr>
        <w:drawing>
          <wp:inline distT="0" distB="0" distL="114300" distR="114300">
            <wp:extent cx="5266690" cy="2668270"/>
            <wp:effectExtent l="0" t="0" r="0" b="0"/>
            <wp:docPr id="17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9"/>
                    <pic:cNvPicPr>
                      <a:picLocks noChangeAspect="1"/>
                    </pic:cNvPicPr>
                  </pic:nvPicPr>
                  <pic:blipFill>
                    <a:blip r:embed="rId52"/>
                    <a:srcRect t="6477"/>
                    <a:stretch>
                      <a:fillRect/>
                    </a:stretch>
                  </pic:blipFill>
                  <pic:spPr>
                    <a:xfrm>
                      <a:off x="0" y="0"/>
                      <a:ext cx="5266690" cy="2668270"/>
                    </a:xfrm>
                    <a:prstGeom prst="rect">
                      <a:avLst/>
                    </a:prstGeom>
                    <a:noFill/>
                    <a:ln>
                      <a:noFill/>
                    </a:ln>
                  </pic:spPr>
                </pic:pic>
              </a:graphicData>
            </a:graphic>
          </wp:inline>
        </w:drawing>
      </w:r>
    </w:p>
    <w:p w14:paraId="1119153D">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期货期权持仓</w:t>
      </w:r>
    </w:p>
    <w:p w14:paraId="5F323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展示交易面板当前选中资金账户的持仓情况，包括持仓类型、盯市盈亏、占用保证金、浮动盈亏和持仓市值等信息，支持按合约代码筛选持仓记录，支持持仓数据导出。</w:t>
      </w:r>
    </w:p>
    <w:p w14:paraId="46DDA93A">
      <w:pPr>
        <w:jc w:val="center"/>
        <w:rPr>
          <w:rFonts w:hint="eastAsia" w:ascii="宋体" w:hAnsi="宋体" w:eastAsia="宋体" w:cs="宋体"/>
        </w:rPr>
      </w:pPr>
      <w:r>
        <w:rPr>
          <w:rFonts w:hint="eastAsia" w:ascii="宋体" w:hAnsi="宋体" w:eastAsia="宋体" w:cs="宋体"/>
        </w:rPr>
        <w:drawing>
          <wp:inline distT="0" distB="0" distL="114300" distR="114300">
            <wp:extent cx="4850765" cy="2304415"/>
            <wp:effectExtent l="0" t="0" r="6985" b="5715"/>
            <wp:docPr id="1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1"/>
                    <pic:cNvPicPr>
                      <a:picLocks noChangeAspect="1"/>
                    </pic:cNvPicPr>
                  </pic:nvPicPr>
                  <pic:blipFill>
                    <a:blip r:embed="rId53"/>
                    <a:stretch>
                      <a:fillRect/>
                    </a:stretch>
                  </pic:blipFill>
                  <pic:spPr>
                    <a:xfrm>
                      <a:off x="0" y="0"/>
                      <a:ext cx="4850765" cy="2304415"/>
                    </a:xfrm>
                    <a:prstGeom prst="rect">
                      <a:avLst/>
                    </a:prstGeom>
                    <a:noFill/>
                    <a:ln>
                      <a:noFill/>
                    </a:ln>
                  </pic:spPr>
                </pic:pic>
              </a:graphicData>
            </a:graphic>
          </wp:inline>
        </w:drawing>
      </w:r>
    </w:p>
    <w:p w14:paraId="25A3D6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支持对持仓进行“全平”“反手”“锁仓”操作，交互逻辑同4.1.4.5期货持仓列表中的相同操作。</w:t>
      </w:r>
    </w:p>
    <w:p w14:paraId="05C0318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期货期权账户资产</w:t>
      </w:r>
    </w:p>
    <w:p w14:paraId="6D873B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展示交易面板当前选中资金账户的资产明细，包括保证金余额、可用保证金、占用保证金、客户权益、风险度、盯市盈亏、浮动盈亏等信息，支持设置字段显隐。</w:t>
      </w:r>
    </w:p>
    <w:p w14:paraId="14368C73">
      <w:pPr>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4996180" cy="2373630"/>
            <wp:effectExtent l="0" t="0" r="1905" b="1270"/>
            <wp:docPr id="1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0"/>
                    <pic:cNvPicPr>
                      <a:picLocks noChangeAspect="1"/>
                    </pic:cNvPicPr>
                  </pic:nvPicPr>
                  <pic:blipFill>
                    <a:blip r:embed="rId54"/>
                    <a:stretch>
                      <a:fillRect/>
                    </a:stretch>
                  </pic:blipFill>
                  <pic:spPr>
                    <a:xfrm>
                      <a:off x="0" y="0"/>
                      <a:ext cx="4996180" cy="2373630"/>
                    </a:xfrm>
                    <a:prstGeom prst="rect">
                      <a:avLst/>
                    </a:prstGeom>
                    <a:noFill/>
                    <a:ln>
                      <a:noFill/>
                    </a:ln>
                  </pic:spPr>
                </pic:pic>
              </a:graphicData>
            </a:graphic>
          </wp:inline>
        </w:drawing>
      </w:r>
    </w:p>
    <w:p w14:paraId="54A0177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期货期权闪电下单</w:t>
      </w:r>
    </w:p>
    <w:p w14:paraId="59F9AB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期货期权闪电下单面板，支持用户快速设置下单信息实现快速下单，同4.1.3.3闪电下单。</w:t>
      </w:r>
    </w:p>
    <w:p w14:paraId="5445D0E6">
      <w:pPr>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4926330" cy="2339975"/>
            <wp:effectExtent l="0" t="0" r="6985" b="2540"/>
            <wp:docPr id="17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2"/>
                    <pic:cNvPicPr>
                      <a:picLocks noChangeAspect="1"/>
                    </pic:cNvPicPr>
                  </pic:nvPicPr>
                  <pic:blipFill>
                    <a:blip r:embed="rId55"/>
                    <a:stretch>
                      <a:fillRect/>
                    </a:stretch>
                  </pic:blipFill>
                  <pic:spPr>
                    <a:xfrm>
                      <a:off x="0" y="0"/>
                      <a:ext cx="4926330" cy="2339975"/>
                    </a:xfrm>
                    <a:prstGeom prst="rect">
                      <a:avLst/>
                    </a:prstGeom>
                    <a:noFill/>
                    <a:ln>
                      <a:noFill/>
                    </a:ln>
                  </pic:spPr>
                </pic:pic>
              </a:graphicData>
            </a:graphic>
          </wp:inline>
        </w:drawing>
      </w:r>
    </w:p>
    <w:p w14:paraId="180312B7">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期货期权T型行情</w:t>
      </w:r>
    </w:p>
    <w:p w14:paraId="6072A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支持切换查看不同交易所、不同品种不同到期时间的合约的行情。</w:t>
      </w:r>
    </w:p>
    <w:p w14:paraId="6201BED7">
      <w:pPr>
        <w:jc w:val="center"/>
        <w:rPr>
          <w:rFonts w:hint="eastAsia" w:ascii="宋体" w:hAnsi="宋体" w:eastAsia="宋体" w:cs="宋体"/>
        </w:rPr>
      </w:pPr>
      <w:r>
        <w:rPr>
          <w:rFonts w:hint="eastAsia" w:ascii="宋体" w:hAnsi="宋体" w:eastAsia="宋体" w:cs="宋体"/>
        </w:rPr>
        <w:drawing>
          <wp:inline distT="0" distB="0" distL="114300" distR="114300">
            <wp:extent cx="4669790" cy="2224405"/>
            <wp:effectExtent l="0" t="0" r="16510" b="4445"/>
            <wp:docPr id="17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3"/>
                    <pic:cNvPicPr>
                      <a:picLocks noChangeAspect="1"/>
                    </pic:cNvPicPr>
                  </pic:nvPicPr>
                  <pic:blipFill>
                    <a:blip r:embed="rId56"/>
                    <a:stretch>
                      <a:fillRect/>
                    </a:stretch>
                  </pic:blipFill>
                  <pic:spPr>
                    <a:xfrm>
                      <a:off x="0" y="0"/>
                      <a:ext cx="4669790" cy="2224405"/>
                    </a:xfrm>
                    <a:prstGeom prst="rect">
                      <a:avLst/>
                    </a:prstGeom>
                    <a:noFill/>
                    <a:ln>
                      <a:noFill/>
                    </a:ln>
                  </pic:spPr>
                </pic:pic>
              </a:graphicData>
            </a:graphic>
          </wp:inline>
        </w:drawing>
      </w:r>
    </w:p>
    <w:p w14:paraId="222D2DB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委托明细&amp;成交明细</w:t>
      </w:r>
    </w:p>
    <w:p w14:paraId="5E6A28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委托明细列表和成交列表分别展示交易面板当前选中资产账号当日的委托记录和成交记录。</w:t>
      </w:r>
    </w:p>
    <w:p w14:paraId="509A7EAD">
      <w:pPr>
        <w:numPr>
          <w:ilvl w:val="0"/>
          <w:numId w:val="7"/>
        </w:numPr>
        <w:rPr>
          <w:rFonts w:hint="eastAsia" w:ascii="宋体" w:hAnsi="宋体" w:eastAsia="宋体" w:cs="宋体"/>
          <w:b/>
          <w:bCs/>
          <w:lang w:val="en-US" w:eastAsia="zh-CN"/>
        </w:rPr>
      </w:pPr>
      <w:r>
        <w:rPr>
          <w:rFonts w:hint="eastAsia" w:ascii="宋体" w:hAnsi="宋体" w:eastAsia="宋体" w:cs="宋体"/>
          <w:b/>
          <w:bCs/>
          <w:lang w:val="en-US" w:eastAsia="zh-CN"/>
        </w:rPr>
        <w:t>委托明细</w:t>
      </w:r>
    </w:p>
    <w:p w14:paraId="03794405">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5274310" cy="2132330"/>
            <wp:effectExtent l="0" t="0" r="2540" b="1270"/>
            <wp:docPr id="1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4"/>
                    <pic:cNvPicPr>
                      <a:picLocks noChangeAspect="1"/>
                    </pic:cNvPicPr>
                  </pic:nvPicPr>
                  <pic:blipFill>
                    <a:blip r:embed="rId57"/>
                    <a:stretch>
                      <a:fillRect/>
                    </a:stretch>
                  </pic:blipFill>
                  <pic:spPr>
                    <a:xfrm>
                      <a:off x="0" y="0"/>
                      <a:ext cx="5274310" cy="2132330"/>
                    </a:xfrm>
                    <a:prstGeom prst="rect">
                      <a:avLst/>
                    </a:prstGeom>
                    <a:noFill/>
                    <a:ln>
                      <a:noFill/>
                    </a:ln>
                  </pic:spPr>
                </pic:pic>
              </a:graphicData>
            </a:graphic>
          </wp:inline>
        </w:drawing>
      </w:r>
    </w:p>
    <w:p w14:paraId="2A843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同4.1.4.4委托明细&amp;成交明细。</w:t>
      </w:r>
    </w:p>
    <w:p w14:paraId="4D6E8F81">
      <w:pPr>
        <w:numPr>
          <w:ilvl w:val="0"/>
          <w:numId w:val="7"/>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成交明细</w:t>
      </w:r>
    </w:p>
    <w:p w14:paraId="17A12224">
      <w:pPr>
        <w:numPr>
          <w:ilvl w:val="0"/>
          <w:numId w:val="0"/>
        </w:numPr>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4310" cy="2132330"/>
            <wp:effectExtent l="0" t="0" r="2540" b="1270"/>
            <wp:docPr id="1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5"/>
                    <pic:cNvPicPr>
                      <a:picLocks noChangeAspect="1"/>
                    </pic:cNvPicPr>
                  </pic:nvPicPr>
                  <pic:blipFill>
                    <a:blip r:embed="rId58"/>
                    <a:stretch>
                      <a:fillRect/>
                    </a:stretch>
                  </pic:blipFill>
                  <pic:spPr>
                    <a:xfrm>
                      <a:off x="0" y="0"/>
                      <a:ext cx="5274310" cy="2132330"/>
                    </a:xfrm>
                    <a:prstGeom prst="rect">
                      <a:avLst/>
                    </a:prstGeom>
                    <a:noFill/>
                    <a:ln>
                      <a:noFill/>
                    </a:ln>
                  </pic:spPr>
                </pic:pic>
              </a:graphicData>
            </a:graphic>
          </wp:inline>
        </w:drawing>
      </w:r>
    </w:p>
    <w:p w14:paraId="2FF26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同4.1.4.4委托明细&amp;成交明细。</w:t>
      </w:r>
    </w:p>
    <w:p w14:paraId="565634C0">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交易面板</w:t>
      </w:r>
    </w:p>
    <w:p w14:paraId="58C2E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交易面板分为行情盘口和委托下单两部分。行情盘口部分展示买卖五档实时行情的盘口信息，如图所示。</w:t>
      </w:r>
    </w:p>
    <w:p w14:paraId="6A00014C">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3669665" cy="2250440"/>
            <wp:effectExtent l="0" t="0" r="6985" b="16510"/>
            <wp:docPr id="1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6"/>
                    <pic:cNvPicPr>
                      <a:picLocks noChangeAspect="1"/>
                    </pic:cNvPicPr>
                  </pic:nvPicPr>
                  <pic:blipFill>
                    <a:blip r:embed="rId59"/>
                    <a:stretch>
                      <a:fillRect/>
                    </a:stretch>
                  </pic:blipFill>
                  <pic:spPr>
                    <a:xfrm>
                      <a:off x="0" y="0"/>
                      <a:ext cx="3669665" cy="2250440"/>
                    </a:xfrm>
                    <a:prstGeom prst="rect">
                      <a:avLst/>
                    </a:prstGeom>
                    <a:noFill/>
                    <a:ln>
                      <a:noFill/>
                    </a:ln>
                  </pic:spPr>
                </pic:pic>
              </a:graphicData>
            </a:graphic>
          </wp:inline>
        </w:drawing>
      </w:r>
    </w:p>
    <w:p w14:paraId="2ABE43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同4.1.4.3交易面板。</w:t>
      </w:r>
    </w:p>
    <w:p w14:paraId="425CF21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1" w:name="_Toc17796"/>
      <w:r>
        <w:rPr>
          <w:rFonts w:hint="eastAsia" w:ascii="宋体" w:hAnsi="宋体" w:eastAsia="宋体" w:cs="宋体"/>
          <w:sz w:val="28"/>
          <w:szCs w:val="28"/>
          <w:lang w:val="en-US" w:eastAsia="zh-CN"/>
        </w:rPr>
        <w:t>特色交易</w:t>
      </w:r>
      <w:bookmarkEnd w:id="21"/>
    </w:p>
    <w:p w14:paraId="7FB8C58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2" w:name="_Toc1674"/>
      <w:r>
        <w:rPr>
          <w:rFonts w:hint="eastAsia" w:ascii="宋体" w:hAnsi="宋体" w:eastAsia="宋体" w:cs="宋体"/>
          <w:sz w:val="28"/>
          <w:szCs w:val="28"/>
          <w:lang w:val="en-US" w:eastAsia="zh-CN"/>
        </w:rPr>
        <w:t>组合交易</w:t>
      </w:r>
      <w:bookmarkEnd w:id="22"/>
    </w:p>
    <w:p w14:paraId="2BB271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组合交易支持一篮子标的批量下单的功能，通过预先维护组合模版或使用文件导入的方 式，实现手工和算法两大类交易模式的批量委托。</w:t>
      </w:r>
    </w:p>
    <w:p w14:paraId="63A623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功能内部嵌入了多种组合场景，包括持仓组合。持仓组合是系统自动获取账号持仓标的，实现批量减仓。 </w:t>
      </w:r>
    </w:p>
    <w:p w14:paraId="0C9C0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支持品种和交易方向如下：</w:t>
      </w:r>
    </w:p>
    <w:p w14:paraId="2E6B2538">
      <w:pPr>
        <w:rPr>
          <w:rFonts w:hint="eastAsia" w:ascii="宋体" w:hAnsi="宋体" w:eastAsia="宋体" w:cs="宋体"/>
          <w:lang w:val="en-US" w:eastAsia="zh-CN"/>
        </w:rPr>
      </w:pPr>
    </w:p>
    <w:tbl>
      <w:tblPr>
        <w:tblStyle w:val="21"/>
        <w:tblpPr w:vertAnchor="text" w:horzAnchor="page" w:tblpX="1795" w:tblpY="-270"/>
        <w:tblOverlap w:val="never"/>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6"/>
        <w:gridCol w:w="1413"/>
        <w:gridCol w:w="2972"/>
        <w:gridCol w:w="2560"/>
      </w:tblGrid>
      <w:tr w14:paraId="5644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6" w:type="dxa"/>
          </w:tcPr>
          <w:p w14:paraId="7A3557DA">
            <w:pPr>
              <w:keepNext w:val="0"/>
              <w:keepLines w:val="0"/>
              <w:pageBreakBefore w:val="0"/>
              <w:widowControl w:val="0"/>
              <w:kinsoku/>
              <w:wordWrap/>
              <w:overflowPunct/>
              <w:topLinePunct w:val="0"/>
              <w:autoSpaceDE/>
              <w:autoSpaceDN/>
              <w:bidi w:val="0"/>
              <w:adjustRightInd/>
              <w:snapToGrid/>
              <w:spacing w:before="33"/>
              <w:ind w:left="313"/>
              <w:jc w:val="both"/>
              <w:textAlignment w:val="auto"/>
              <w:rPr>
                <w:rFonts w:hint="eastAsia" w:ascii="宋体" w:hAnsi="宋体" w:eastAsia="宋体" w:cs="宋体"/>
                <w:b/>
                <w:bCs/>
                <w:color w:val="010302"/>
              </w:rPr>
            </w:pPr>
            <w:r>
              <w:rPr>
                <w:rFonts w:hint="eastAsia" w:ascii="宋体" w:hAnsi="宋体" w:eastAsia="宋体" w:cs="宋体"/>
                <w:b/>
                <w:bCs/>
                <w:color w:val="000000"/>
              </w:rPr>
              <w:t>资产账号</w:t>
            </w:r>
          </w:p>
        </w:tc>
        <w:tc>
          <w:tcPr>
            <w:tcW w:w="1413" w:type="dxa"/>
          </w:tcPr>
          <w:p w14:paraId="0FFE1416">
            <w:pPr>
              <w:keepNext w:val="0"/>
              <w:keepLines w:val="0"/>
              <w:pageBreakBefore w:val="0"/>
              <w:widowControl w:val="0"/>
              <w:kinsoku/>
              <w:wordWrap/>
              <w:overflowPunct/>
              <w:topLinePunct w:val="0"/>
              <w:autoSpaceDE/>
              <w:autoSpaceDN/>
              <w:bidi w:val="0"/>
              <w:adjustRightInd/>
              <w:snapToGrid/>
              <w:spacing w:before="33"/>
              <w:ind w:firstLine="492"/>
              <w:jc w:val="both"/>
              <w:textAlignment w:val="auto"/>
              <w:rPr>
                <w:rFonts w:hint="eastAsia" w:ascii="宋体" w:hAnsi="宋体" w:eastAsia="宋体" w:cs="宋体"/>
                <w:b/>
                <w:bCs/>
                <w:color w:val="010302"/>
              </w:rPr>
            </w:pPr>
            <w:r>
              <w:rPr>
                <w:rFonts w:hint="eastAsia" w:ascii="宋体" w:hAnsi="宋体" w:eastAsia="宋体" w:cs="宋体"/>
                <w:b/>
                <w:bCs/>
                <w:color w:val="000000"/>
              </w:rPr>
              <w:t>市场</w:t>
            </w:r>
          </w:p>
        </w:tc>
        <w:tc>
          <w:tcPr>
            <w:tcW w:w="2972" w:type="dxa"/>
          </w:tcPr>
          <w:p w14:paraId="2F8EAFC4">
            <w:pPr>
              <w:keepNext w:val="0"/>
              <w:keepLines w:val="0"/>
              <w:pageBreakBefore w:val="0"/>
              <w:widowControl w:val="0"/>
              <w:kinsoku/>
              <w:wordWrap/>
              <w:overflowPunct/>
              <w:topLinePunct w:val="0"/>
              <w:autoSpaceDE/>
              <w:autoSpaceDN/>
              <w:bidi w:val="0"/>
              <w:adjustRightInd/>
              <w:snapToGrid/>
              <w:spacing w:before="33"/>
              <w:jc w:val="center"/>
              <w:textAlignment w:val="auto"/>
              <w:rPr>
                <w:rFonts w:hint="eastAsia" w:ascii="宋体" w:hAnsi="宋体" w:eastAsia="宋体" w:cs="宋体"/>
                <w:b/>
                <w:bCs/>
                <w:color w:val="010302"/>
              </w:rPr>
            </w:pPr>
            <w:r>
              <w:rPr>
                <w:rFonts w:hint="eastAsia" w:ascii="宋体" w:hAnsi="宋体" w:eastAsia="宋体" w:cs="宋体"/>
                <w:b/>
                <w:bCs/>
                <w:color w:val="000000"/>
              </w:rPr>
              <w:t>品种</w:t>
            </w:r>
          </w:p>
        </w:tc>
        <w:tc>
          <w:tcPr>
            <w:tcW w:w="2560" w:type="dxa"/>
          </w:tcPr>
          <w:p w14:paraId="30EB6660">
            <w:pPr>
              <w:keepNext w:val="0"/>
              <w:keepLines w:val="0"/>
              <w:pageBreakBefore w:val="0"/>
              <w:widowControl w:val="0"/>
              <w:kinsoku/>
              <w:wordWrap/>
              <w:overflowPunct/>
              <w:topLinePunct w:val="0"/>
              <w:autoSpaceDE/>
              <w:autoSpaceDN/>
              <w:bidi w:val="0"/>
              <w:adjustRightInd/>
              <w:snapToGrid/>
              <w:spacing w:before="33"/>
              <w:jc w:val="center"/>
              <w:textAlignment w:val="auto"/>
              <w:rPr>
                <w:rFonts w:hint="eastAsia" w:ascii="宋体" w:hAnsi="宋体" w:eastAsia="宋体" w:cs="宋体"/>
                <w:b/>
                <w:bCs/>
                <w:color w:val="010302"/>
              </w:rPr>
            </w:pPr>
            <w:r>
              <w:rPr>
                <w:rFonts w:hint="eastAsia" w:ascii="宋体" w:hAnsi="宋体" w:eastAsia="宋体" w:cs="宋体"/>
                <w:b/>
                <w:bCs/>
                <w:color w:val="000000"/>
              </w:rPr>
              <w:t>交易方向</w:t>
            </w:r>
          </w:p>
        </w:tc>
      </w:tr>
      <w:tr w14:paraId="1DC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546" w:type="dxa"/>
            <w:vMerge w:val="restart"/>
            <w:tcBorders>
              <w:bottom w:val="nil"/>
            </w:tcBorders>
            <w:vAlign w:val="center"/>
          </w:tcPr>
          <w:p w14:paraId="130EAB4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普通证</w:t>
            </w:r>
            <w:r>
              <w:rPr>
                <w:rFonts w:hint="eastAsia" w:ascii="宋体" w:hAnsi="宋体" w:eastAsia="宋体" w:cs="宋体"/>
                <w:b w:val="0"/>
                <w:bCs w:val="0"/>
                <w:color w:val="000000"/>
                <w:spacing w:val="-2"/>
              </w:rPr>
              <w:t>券</w:t>
            </w:r>
            <w:r>
              <w:rPr>
                <w:rFonts w:hint="eastAsia" w:ascii="宋体" w:hAnsi="宋体" w:eastAsia="宋体" w:cs="宋体"/>
                <w:b w:val="0"/>
                <w:bCs w:val="0"/>
                <w:color w:val="000000"/>
              </w:rPr>
              <w:t>账</w:t>
            </w:r>
            <w:r>
              <w:rPr>
                <w:rFonts w:hint="eastAsia" w:ascii="宋体" w:hAnsi="宋体" w:eastAsia="宋体" w:cs="宋体"/>
                <w:b w:val="0"/>
                <w:bCs w:val="0"/>
                <w:color w:val="000000"/>
                <w:spacing w:val="-2"/>
              </w:rPr>
              <w:t>号</w:t>
            </w:r>
          </w:p>
        </w:tc>
        <w:tc>
          <w:tcPr>
            <w:tcW w:w="1413" w:type="dxa"/>
            <w:vMerge w:val="restart"/>
            <w:tcBorders>
              <w:bottom w:val="nil"/>
            </w:tcBorders>
            <w:vAlign w:val="center"/>
          </w:tcPr>
          <w:p w14:paraId="1D37453A">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上海、</w:t>
            </w:r>
            <w:r>
              <w:rPr>
                <w:rFonts w:hint="eastAsia" w:ascii="宋体" w:hAnsi="宋体" w:eastAsia="宋体" w:cs="宋体"/>
                <w:b w:val="0"/>
                <w:bCs w:val="0"/>
                <w:color w:val="000000"/>
                <w:spacing w:val="-2"/>
              </w:rPr>
              <w:t>深</w:t>
            </w:r>
            <w:r>
              <w:rPr>
                <w:rFonts w:hint="eastAsia" w:ascii="宋体" w:hAnsi="宋体" w:eastAsia="宋体" w:cs="宋体"/>
                <w:b w:val="0"/>
                <w:bCs w:val="0"/>
                <w:color w:val="000000"/>
              </w:rPr>
              <w:t>圳</w:t>
            </w:r>
          </w:p>
        </w:tc>
        <w:tc>
          <w:tcPr>
            <w:tcW w:w="2972" w:type="dxa"/>
            <w:vMerge w:val="restart"/>
            <w:tcBorders>
              <w:bottom w:val="nil"/>
            </w:tcBorders>
            <w:vAlign w:val="center"/>
          </w:tcPr>
          <w:p w14:paraId="6B519774">
            <w:pPr>
              <w:keepNext w:val="0"/>
              <w:keepLines w:val="0"/>
              <w:pageBreakBefore w:val="0"/>
              <w:widowControl w:val="0"/>
              <w:kinsoku/>
              <w:wordWrap/>
              <w:overflowPunct/>
              <w:topLinePunct w:val="0"/>
              <w:autoSpaceDE/>
              <w:autoSpaceDN/>
              <w:bidi w:val="0"/>
              <w:adjustRightInd/>
              <w:snapToGrid/>
              <w:spacing w:line="312" w:lineRule="exact"/>
              <w:ind w:right="145"/>
              <w:jc w:val="center"/>
              <w:textAlignment w:val="auto"/>
              <w:rPr>
                <w:rFonts w:hint="eastAsia" w:ascii="宋体" w:hAnsi="宋体" w:eastAsia="宋体" w:cs="宋体"/>
                <w:b w:val="0"/>
                <w:bCs w:val="0"/>
                <w:color w:val="010302"/>
                <w:lang w:eastAsia="zh-CN"/>
              </w:rPr>
            </w:pPr>
            <w:r>
              <w:rPr>
                <w:rFonts w:hint="eastAsia" w:ascii="宋体" w:hAnsi="宋体" w:eastAsia="宋体" w:cs="宋体"/>
                <w:b w:val="0"/>
                <w:bCs w:val="0"/>
                <w:color w:val="000000"/>
                <w:lang w:eastAsia="zh-CN"/>
              </w:rPr>
              <w:t>ET</w:t>
            </w:r>
            <w:r>
              <w:rPr>
                <w:rFonts w:hint="eastAsia" w:ascii="宋体" w:hAnsi="宋体" w:eastAsia="宋体" w:cs="宋体"/>
                <w:b w:val="0"/>
                <w:bCs w:val="0"/>
                <w:color w:val="000000"/>
                <w:spacing w:val="-2"/>
                <w:lang w:eastAsia="zh-CN"/>
              </w:rPr>
              <w:t>F</w:t>
            </w:r>
            <w:r>
              <w:rPr>
                <w:rFonts w:hint="eastAsia" w:ascii="宋体" w:hAnsi="宋体" w:eastAsia="宋体" w:cs="宋体"/>
                <w:b w:val="0"/>
                <w:bCs w:val="0"/>
                <w:color w:val="000000"/>
                <w:lang w:eastAsia="zh-CN"/>
              </w:rPr>
              <w:t>基金</w:t>
            </w:r>
          </w:p>
        </w:tc>
        <w:tc>
          <w:tcPr>
            <w:tcW w:w="2560" w:type="dxa"/>
            <w:vAlign w:val="center"/>
          </w:tcPr>
          <w:p w14:paraId="34E24282">
            <w:pPr>
              <w:keepNext w:val="0"/>
              <w:keepLines w:val="0"/>
              <w:pageBreakBefore w:val="0"/>
              <w:widowControl w:val="0"/>
              <w:kinsoku/>
              <w:wordWrap/>
              <w:overflowPunct/>
              <w:topLinePunct w:val="0"/>
              <w:autoSpaceDE/>
              <w:autoSpaceDN/>
              <w:bidi w:val="0"/>
              <w:adjustRightInd/>
              <w:snapToGrid/>
              <w:spacing w:before="9"/>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买</w:t>
            </w:r>
            <w:r>
              <w:rPr>
                <w:rFonts w:hint="eastAsia" w:ascii="宋体" w:hAnsi="宋体" w:eastAsia="宋体" w:cs="宋体"/>
                <w:b w:val="0"/>
                <w:bCs w:val="0"/>
                <w:color w:val="000000"/>
                <w:spacing w:val="-2"/>
              </w:rPr>
              <w:t>入</w:t>
            </w:r>
          </w:p>
        </w:tc>
      </w:tr>
      <w:tr w14:paraId="45BC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trPr>
        <w:tc>
          <w:tcPr>
            <w:tcW w:w="1546" w:type="dxa"/>
            <w:vMerge w:val="continue"/>
            <w:tcBorders>
              <w:top w:val="nil"/>
            </w:tcBorders>
            <w:vAlign w:val="center"/>
          </w:tcPr>
          <w:p w14:paraId="6470817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1413" w:type="dxa"/>
            <w:vMerge w:val="continue"/>
            <w:tcBorders>
              <w:top w:val="nil"/>
            </w:tcBorders>
            <w:vAlign w:val="center"/>
          </w:tcPr>
          <w:p w14:paraId="676843F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2972" w:type="dxa"/>
            <w:vMerge w:val="continue"/>
            <w:tcBorders>
              <w:top w:val="nil"/>
            </w:tcBorders>
            <w:vAlign w:val="center"/>
          </w:tcPr>
          <w:p w14:paraId="65951EB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rPr>
            </w:pPr>
          </w:p>
        </w:tc>
        <w:tc>
          <w:tcPr>
            <w:tcW w:w="2560" w:type="dxa"/>
            <w:vAlign w:val="center"/>
          </w:tcPr>
          <w:p w14:paraId="678B6B0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val="0"/>
                <w:color w:val="010302"/>
              </w:rPr>
            </w:pPr>
            <w:r>
              <w:rPr>
                <w:rFonts w:hint="eastAsia" w:ascii="宋体" w:hAnsi="宋体" w:eastAsia="宋体" w:cs="宋体"/>
                <w:b w:val="0"/>
                <w:bCs w:val="0"/>
                <w:color w:val="000000"/>
              </w:rPr>
              <w:t>卖</w:t>
            </w:r>
            <w:r>
              <w:rPr>
                <w:rFonts w:hint="eastAsia" w:ascii="宋体" w:hAnsi="宋体" w:eastAsia="宋体" w:cs="宋体"/>
                <w:b w:val="0"/>
                <w:bCs w:val="0"/>
                <w:color w:val="000000"/>
                <w:spacing w:val="-2"/>
              </w:rPr>
              <w:t>出</w:t>
            </w:r>
          </w:p>
        </w:tc>
      </w:tr>
    </w:tbl>
    <w:p w14:paraId="7F2B10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点击主菜单【特色交易】→【组合交易】，进入组合交易界面，界面包含组合管理、成分股管理、下单面板、组合订单监控、委托、成交、持仓等功能。界面如下图所示：</w:t>
      </w:r>
    </w:p>
    <w:p w14:paraId="7DC7CC0D">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635250"/>
            <wp:effectExtent l="0" t="0" r="9525" b="12700"/>
            <wp:docPr id="1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7"/>
                    <pic:cNvPicPr>
                      <a:picLocks noChangeAspect="1"/>
                    </pic:cNvPicPr>
                  </pic:nvPicPr>
                  <pic:blipFill>
                    <a:blip r:embed="rId60"/>
                    <a:stretch>
                      <a:fillRect/>
                    </a:stretch>
                  </pic:blipFill>
                  <pic:spPr>
                    <a:xfrm>
                      <a:off x="0" y="0"/>
                      <a:ext cx="5267325" cy="2635250"/>
                    </a:xfrm>
                    <a:prstGeom prst="rect">
                      <a:avLst/>
                    </a:prstGeom>
                    <a:noFill/>
                    <a:ln>
                      <a:noFill/>
                    </a:ln>
                  </pic:spPr>
                </pic:pic>
              </a:graphicData>
            </a:graphic>
          </wp:inline>
        </w:drawing>
      </w:r>
    </w:p>
    <w:p w14:paraId="4C215F3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组合管理</w:t>
      </w:r>
    </w:p>
    <w:p w14:paraId="68BAA4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在组合交易界面的最左侧是组合列表，支持用户在组合列表中进行手工创建组合、文件导入组合和组合日常管理等操作。组合列表中的组合有效期为导入或创建后一个月，过期系统自动删除。</w:t>
      </w:r>
    </w:p>
    <w:p w14:paraId="72310BB2">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手工创建组合</w:t>
      </w:r>
    </w:p>
    <w:p w14:paraId="2BC3B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点击【手工创建】按钮，在【新建组合】弹窗中完成组合模板维护。</w:t>
      </w:r>
    </w:p>
    <w:p w14:paraId="71C1A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（1）手工逐个添加证券代码、委托数量或相对权重等信息完成组合创建，操作如下图所示：</w:t>
      </w:r>
    </w:p>
    <w:p w14:paraId="68787C3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6055" cy="2639060"/>
            <wp:effectExtent l="0" t="0" r="0" b="0"/>
            <wp:docPr id="17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8"/>
                    <pic:cNvPicPr>
                      <a:picLocks noChangeAspect="1"/>
                    </pic:cNvPicPr>
                  </pic:nvPicPr>
                  <pic:blipFill>
                    <a:blip r:embed="rId61"/>
                    <a:srcRect t="1703"/>
                    <a:stretch>
                      <a:fillRect/>
                    </a:stretch>
                  </pic:blipFill>
                  <pic:spPr>
                    <a:xfrm>
                      <a:off x="0" y="0"/>
                      <a:ext cx="5266055" cy="2639060"/>
                    </a:xfrm>
                    <a:prstGeom prst="rect">
                      <a:avLst/>
                    </a:prstGeom>
                    <a:noFill/>
                    <a:ln>
                      <a:noFill/>
                    </a:ln>
                  </pic:spPr>
                </pic:pic>
              </a:graphicData>
            </a:graphic>
          </wp:inline>
        </w:drawing>
      </w:r>
    </w:p>
    <w:p w14:paraId="24E70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（2）快速对当前用户关联的单个资金账号下的持仓进行批量减仓，操作如图所示：</w:t>
      </w:r>
    </w:p>
    <w:p w14:paraId="28133240">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6055" cy="2628900"/>
            <wp:effectExtent l="0" t="0" r="0" b="0"/>
            <wp:docPr id="1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9"/>
                    <pic:cNvPicPr>
                      <a:picLocks noChangeAspect="1"/>
                    </pic:cNvPicPr>
                  </pic:nvPicPr>
                  <pic:blipFill>
                    <a:blip r:embed="rId62"/>
                    <a:srcRect t="2081"/>
                    <a:stretch>
                      <a:fillRect/>
                    </a:stretch>
                  </pic:blipFill>
                  <pic:spPr>
                    <a:xfrm>
                      <a:off x="0" y="0"/>
                      <a:ext cx="5266055" cy="2628900"/>
                    </a:xfrm>
                    <a:prstGeom prst="rect">
                      <a:avLst/>
                    </a:prstGeom>
                    <a:noFill/>
                    <a:ln>
                      <a:noFill/>
                    </a:ln>
                  </pic:spPr>
                </pic:pic>
              </a:graphicData>
            </a:graphic>
          </wp:inline>
        </w:drawing>
      </w:r>
    </w:p>
    <w:p w14:paraId="6DD3CEEA">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文件导入组合</w:t>
      </w:r>
    </w:p>
    <w:p w14:paraId="068659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支持通过手工导入组合和自动导入组合两种方式完成组合文件导入。</w:t>
      </w:r>
    </w:p>
    <w:p w14:paraId="69214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（1）手工导入组合</w:t>
      </w:r>
    </w:p>
    <w:p w14:paraId="5E9B36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组合管理支持手工导入组合文件，点击【文件导入】按钮即可导入组合。导入组合支持CSV、 EXCEL两种格式，组合模板可点击“文件导入”按钮旁的“？”按钮，自行下载组合模板。</w:t>
      </w:r>
    </w:p>
    <w:p w14:paraId="759F12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操作如图所示： </w:t>
      </w:r>
    </w:p>
    <w:p w14:paraId="307A05A2">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1610" cy="2501265"/>
            <wp:effectExtent l="0" t="0" r="15240" b="13335"/>
            <wp:docPr id="1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0"/>
                    <pic:cNvPicPr>
                      <a:picLocks noChangeAspect="1"/>
                    </pic:cNvPicPr>
                  </pic:nvPicPr>
                  <pic:blipFill>
                    <a:blip r:embed="rId63"/>
                    <a:stretch>
                      <a:fillRect/>
                    </a:stretch>
                  </pic:blipFill>
                  <pic:spPr>
                    <a:xfrm>
                      <a:off x="0" y="0"/>
                      <a:ext cx="5261610" cy="2501265"/>
                    </a:xfrm>
                    <a:prstGeom prst="rect">
                      <a:avLst/>
                    </a:prstGeom>
                    <a:noFill/>
                    <a:ln>
                      <a:noFill/>
                    </a:ln>
                  </pic:spPr>
                </pic:pic>
              </a:graphicData>
            </a:graphic>
          </wp:inline>
        </w:drawing>
      </w:r>
    </w:p>
    <w:p w14:paraId="118F2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（2）自动导入组合</w:t>
      </w:r>
    </w:p>
    <w:p w14:paraId="5EFCC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在指定组合扫描路径后，系统会自动导入组合文件，自动导入规则：</w:t>
      </w:r>
    </w:p>
    <w:p w14:paraId="0D7EB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（1）每隔1秒扫描一次 文件夹，捡测到新的组合文件名会自动导入；</w:t>
      </w:r>
    </w:p>
    <w:p w14:paraId="571D8D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（2）导入成功后的组合，支持自动删除或移至 备份文件夹两种处理方式。操作如图所示：</w:t>
      </w:r>
    </w:p>
    <w:p w14:paraId="03DFCA98">
      <w:pPr>
        <w:numPr>
          <w:ilvl w:val="0"/>
          <w:numId w:val="0"/>
        </w:numPr>
        <w:ind w:leftChars="0"/>
        <w:rPr>
          <w:rFonts w:hint="eastAsia" w:ascii="宋体" w:hAnsi="宋体" w:eastAsia="宋体" w:cs="宋体"/>
        </w:rPr>
      </w:pPr>
      <w:r>
        <w:rPr>
          <w:rFonts w:hint="eastAsia" w:ascii="宋体" w:hAnsi="宋体" w:eastAsia="宋体" w:cs="宋体"/>
        </w:rPr>
        <w:drawing>
          <wp:inline distT="0" distB="0" distL="114300" distR="114300">
            <wp:extent cx="5261610" cy="2611120"/>
            <wp:effectExtent l="0" t="0" r="15240" b="17780"/>
            <wp:docPr id="1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3"/>
                    <pic:cNvPicPr>
                      <a:picLocks noChangeAspect="1"/>
                    </pic:cNvPicPr>
                  </pic:nvPicPr>
                  <pic:blipFill>
                    <a:blip r:embed="rId64"/>
                    <a:stretch>
                      <a:fillRect/>
                    </a:stretch>
                  </pic:blipFill>
                  <pic:spPr>
                    <a:xfrm>
                      <a:off x="0" y="0"/>
                      <a:ext cx="5261610" cy="2611120"/>
                    </a:xfrm>
                    <a:prstGeom prst="rect">
                      <a:avLst/>
                    </a:prstGeom>
                    <a:noFill/>
                    <a:ln>
                      <a:noFill/>
                    </a:ln>
                  </pic:spPr>
                </pic:pic>
              </a:graphicData>
            </a:graphic>
          </wp:inline>
        </w:drawing>
      </w:r>
    </w:p>
    <w:p w14:paraId="7BC302B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组合日常管理</w:t>
      </w:r>
    </w:p>
    <w:p w14:paraId="767AED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在组合列表中选择选中某个组合后右击，可对该组合进行复制、删除、置顶、置底、上移、 下移等操作。操作如图所示：</w:t>
      </w:r>
    </w:p>
    <w:p w14:paraId="3AF436DE">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295525" cy="4829175"/>
            <wp:effectExtent l="0" t="0" r="9525" b="9525"/>
            <wp:docPr id="1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1"/>
                    <pic:cNvPicPr>
                      <a:picLocks noChangeAspect="1"/>
                    </pic:cNvPicPr>
                  </pic:nvPicPr>
                  <pic:blipFill>
                    <a:blip r:embed="rId65"/>
                    <a:stretch>
                      <a:fillRect/>
                    </a:stretch>
                  </pic:blipFill>
                  <pic:spPr>
                    <a:xfrm>
                      <a:off x="0" y="0"/>
                      <a:ext cx="2295525" cy="4829175"/>
                    </a:xfrm>
                    <a:prstGeom prst="rect">
                      <a:avLst/>
                    </a:prstGeom>
                    <a:noFill/>
                    <a:ln>
                      <a:noFill/>
                    </a:ln>
                  </pic:spPr>
                </pic:pic>
              </a:graphicData>
            </a:graphic>
          </wp:inline>
        </w:drawing>
      </w:r>
    </w:p>
    <w:p w14:paraId="6739F3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双击组合名称单元格，可对组合名称进行重命名操作。</w:t>
      </w:r>
    </w:p>
    <w:p w14:paraId="518434A8">
      <w:pPr>
        <w:numPr>
          <w:ilvl w:val="0"/>
          <w:numId w:val="0"/>
        </w:numPr>
        <w:ind w:leftChars="0"/>
        <w:jc w:val="center"/>
        <w:rPr>
          <w:rFonts w:hint="eastAsia" w:ascii="宋体" w:hAnsi="宋体" w:eastAsia="宋体" w:cs="宋体"/>
        </w:rPr>
      </w:pPr>
    </w:p>
    <w:p w14:paraId="1C74FACB">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成分股管理</w:t>
      </w:r>
    </w:p>
    <w:p w14:paraId="1485B4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在成分股列表查询成分股信息，并对成分股进行管理操作。  </w:t>
      </w:r>
    </w:p>
    <w:p w14:paraId="39D60C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1.成分股快捷操作功能</w:t>
      </w:r>
    </w:p>
    <w:p w14:paraId="787DF3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在组合列表选中某个组合后，在成分股列表中展示该组合中所有成分股的信息，包括代码、 市场、委托数量、最新价、涨跌幅等信息。支持快速对停牌股、涨停股、跌停股的做过滤处 理，以及完成零股处理、使用持仓和按可用卖等快捷操作。操作如图所示：</w:t>
      </w:r>
    </w:p>
    <w:p w14:paraId="5F816BC0">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63515" cy="2060575"/>
            <wp:effectExtent l="0" t="0" r="13335" b="15875"/>
            <wp:docPr id="1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2"/>
                    <pic:cNvPicPr>
                      <a:picLocks noChangeAspect="1"/>
                    </pic:cNvPicPr>
                  </pic:nvPicPr>
                  <pic:blipFill>
                    <a:blip r:embed="rId66"/>
                    <a:stretch>
                      <a:fillRect/>
                    </a:stretch>
                  </pic:blipFill>
                  <pic:spPr>
                    <a:xfrm>
                      <a:off x="0" y="0"/>
                      <a:ext cx="5263515" cy="2060575"/>
                    </a:xfrm>
                    <a:prstGeom prst="rect">
                      <a:avLst/>
                    </a:prstGeom>
                    <a:noFill/>
                    <a:ln>
                      <a:noFill/>
                    </a:ln>
                  </pic:spPr>
                </pic:pic>
              </a:graphicData>
            </a:graphic>
          </wp:inline>
        </w:drawing>
      </w:r>
    </w:p>
    <w:p w14:paraId="296CB8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2.成分股编辑</w:t>
      </w:r>
    </w:p>
    <w:p w14:paraId="5A782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点击【编辑】按钮，实现新增成分股、删除成分股、及修改委托方向、样本数量、 指定价和相对权重等字段。修改后点击【保存】按钮，完成成分股信息的调整。</w:t>
      </w:r>
    </w:p>
    <w:p w14:paraId="77484F15">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组合下单</w:t>
      </w:r>
    </w:p>
    <w:p w14:paraId="3B13ED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在组合交易界面的最右侧是下单面板，下单面板包含资产账号、价格模式、下单模式、下单 按钮等要素。在组合列表选中要下单的组合后，操作如图所示：</w:t>
      </w:r>
    </w:p>
    <w:p w14:paraId="24CFD703">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5260975" cy="1532890"/>
            <wp:effectExtent l="0" t="0" r="15875" b="10160"/>
            <wp:docPr id="18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3"/>
                    <pic:cNvPicPr>
                      <a:picLocks noChangeAspect="1"/>
                    </pic:cNvPicPr>
                  </pic:nvPicPr>
                  <pic:blipFill>
                    <a:blip r:embed="rId67"/>
                    <a:stretch>
                      <a:fillRect/>
                    </a:stretch>
                  </pic:blipFill>
                  <pic:spPr>
                    <a:xfrm>
                      <a:off x="0" y="0"/>
                      <a:ext cx="5260975" cy="1532890"/>
                    </a:xfrm>
                    <a:prstGeom prst="rect">
                      <a:avLst/>
                    </a:prstGeom>
                    <a:noFill/>
                    <a:ln>
                      <a:noFill/>
                    </a:ln>
                  </pic:spPr>
                </pic:pic>
              </a:graphicData>
            </a:graphic>
          </wp:inline>
        </w:drawing>
      </w:r>
    </w:p>
    <w:p w14:paraId="5D21F6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rPr>
      </w:pPr>
      <w:r>
        <w:rPr>
          <w:rFonts w:hint="eastAsia" w:ascii="宋体" w:hAnsi="宋体" w:eastAsia="宋体" w:cs="宋体"/>
          <w:lang w:val="en-US" w:eastAsia="zh-CN"/>
        </w:rPr>
        <w:t>点击“买入组合”/“卖出组合”后弹出二次确认弹窗，点击“确定”完成下单。</w:t>
      </w:r>
    </w:p>
    <w:p w14:paraId="4874E1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1.价格模式</w:t>
      </w:r>
    </w:p>
    <w:p w14:paraId="71F0B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（1）限价模式</w:t>
      </w:r>
    </w:p>
    <w:p w14:paraId="0B6DD4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限价模式下，需选择买入价格和卖出价格的价格类型及超价设置，下单时组合中委托方向为 买入的成分股按买入价格报单，组合中委托方向为卖出的成分股按卖出价格报单。操作如图 所示：</w:t>
      </w:r>
    </w:p>
    <w:p w14:paraId="47E7B03D">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419350" cy="3743325"/>
            <wp:effectExtent l="0" t="0" r="9525" b="2540"/>
            <wp:docPr id="1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4"/>
                    <pic:cNvPicPr>
                      <a:picLocks noChangeAspect="1"/>
                    </pic:cNvPicPr>
                  </pic:nvPicPr>
                  <pic:blipFill>
                    <a:blip r:embed="rId68"/>
                    <a:stretch>
                      <a:fillRect/>
                    </a:stretch>
                  </pic:blipFill>
                  <pic:spPr>
                    <a:xfrm>
                      <a:off x="0" y="0"/>
                      <a:ext cx="2419350" cy="3743325"/>
                    </a:xfrm>
                    <a:prstGeom prst="rect">
                      <a:avLst/>
                    </a:prstGeom>
                    <a:noFill/>
                    <a:ln>
                      <a:noFill/>
                    </a:ln>
                  </pic:spPr>
                </pic:pic>
              </a:graphicData>
            </a:graphic>
          </wp:inline>
        </w:drawing>
      </w:r>
    </w:p>
    <w:p w14:paraId="09DEEE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买入价格和卖出价格选项说明：</w:t>
      </w:r>
      <w:r>
        <w:rPr>
          <w:rFonts w:hint="eastAsia" w:ascii="宋体" w:hAnsi="宋体" w:eastAsia="宋体" w:cs="宋体"/>
          <w:lang w:val="en-US" w:eastAsia="zh-CN"/>
        </w:rPr>
        <mc:AlternateContent>
          <mc:Choice Requires="wps">
            <w:drawing>
              <wp:anchor distT="0" distB="0" distL="114300" distR="114300" simplePos="0" relativeHeight="251666432" behindDoc="1" locked="0" layoutInCell="1" allowOverlap="1">
                <wp:simplePos x="0" y="0"/>
                <wp:positionH relativeFrom="page">
                  <wp:posOffset>1146175</wp:posOffset>
                </wp:positionH>
                <wp:positionV relativeFrom="paragraph">
                  <wp:posOffset>95885</wp:posOffset>
                </wp:positionV>
                <wp:extent cx="807720" cy="67310"/>
                <wp:effectExtent l="0" t="0" r="11430" b="8890"/>
                <wp:wrapNone/>
                <wp:docPr id="295" name="Freeform 295"/>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5" o:spid="_x0000_s1026" o:spt="100" style="position:absolute;left:0pt;margin-left:90.25pt;margin-top:7.55pt;height:5.3pt;width:63.6pt;mso-position-horizontal-relative:page;z-index:-251650048;mso-width-relative:page;mso-height-relative:page;" fillcolor="#FFFFFF" filled="t" stroked="f" coordsize="807720,67056" o:gfxdata="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V7Y8NkAAAAJAQAADwAAAAAAAAABACAAAAAiAAAAZHJz&#10;L2Rvd25yZXYueG1sUEsBAhQAFAAAAAgAh07iQB8Zwzw8AgAAHQUAAA4AAAAAAAAAAQAgAAAAKAEA&#10;AGRycy9lMm9Eb2MueG1sUEsFBgAAAAAGAAYAWQEAANYFA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7456" behindDoc="1" locked="0" layoutInCell="1" allowOverlap="1">
                <wp:simplePos x="0" y="0"/>
                <wp:positionH relativeFrom="page">
                  <wp:posOffset>1953895</wp:posOffset>
                </wp:positionH>
                <wp:positionV relativeFrom="paragraph">
                  <wp:posOffset>95885</wp:posOffset>
                </wp:positionV>
                <wp:extent cx="2704465" cy="67310"/>
                <wp:effectExtent l="0" t="0" r="635" b="8890"/>
                <wp:wrapNone/>
                <wp:docPr id="296" name="Freeform 296"/>
                <wp:cNvGraphicFramePr/>
                <a:graphic xmlns:a="http://schemas.openxmlformats.org/drawingml/2006/main">
                  <a:graphicData uri="http://schemas.microsoft.com/office/word/2010/wordprocessingShape">
                    <wps:wsp>
                      <wps:cNvSpPr/>
                      <wps:spPr>
                        <a:xfrm>
                          <a:off x="0" y="0"/>
                          <a:ext cx="2704210" cy="67056"/>
                        </a:xfrm>
                        <a:custGeom>
                          <a:avLst/>
                          <a:gdLst/>
                          <a:ahLst/>
                          <a:cxnLst/>
                          <a:rect l="l" t="t" r="r" b="b"/>
                          <a:pathLst>
                            <a:path w="2704210" h="67056">
                              <a:moveTo>
                                <a:pt x="0" y="67056"/>
                              </a:moveTo>
                              <a:lnTo>
                                <a:pt x="2704210" y="67056"/>
                              </a:lnTo>
                              <a:lnTo>
                                <a:pt x="270421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6" o:spid="_x0000_s1026" o:spt="100" style="position:absolute;left:0pt;margin-left:153.85pt;margin-top:7.55pt;height:5.3pt;width:212.95pt;mso-position-horizontal-relative:page;z-index:-251649024;mso-width-relative:page;mso-height-relative:page;" fillcolor="#FFFFFF" filled="t" stroked="f" coordsize="2704210,67056" o:gfxdata="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u+vJNgAAAAJAQAADwAAAAAAAAABACAAAAAiAAAAZHJz&#10;L2Rvd25yZXYueG1sUEsBAhQAFAAAAAgAh07iQNNRPlc9AgAAIQUAAA4AAAAAAAAAAQAgAAAAJwEA&#10;AGRycy9lMm9Eb2MueG1sUEsFBgAAAAAGAAYAWQEAANYFAAAAAA==&#10;" path="m0,67056l2704210,67056,270421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8480" behindDoc="1" locked="0" layoutInCell="1" allowOverlap="1">
                <wp:simplePos x="0" y="0"/>
                <wp:positionH relativeFrom="page">
                  <wp:posOffset>4657725</wp:posOffset>
                </wp:positionH>
                <wp:positionV relativeFrom="paragraph">
                  <wp:posOffset>95885</wp:posOffset>
                </wp:positionV>
                <wp:extent cx="1757680" cy="67310"/>
                <wp:effectExtent l="0" t="0" r="13970" b="8890"/>
                <wp:wrapNone/>
                <wp:docPr id="297" name="Freeform 297"/>
                <wp:cNvGraphicFramePr/>
                <a:graphic xmlns:a="http://schemas.openxmlformats.org/drawingml/2006/main">
                  <a:graphicData uri="http://schemas.microsoft.com/office/word/2010/wordprocessingShape">
                    <wps:wsp>
                      <wps:cNvSpPr/>
                      <wps:spPr>
                        <a:xfrm>
                          <a:off x="0" y="0"/>
                          <a:ext cx="1757426" cy="67056"/>
                        </a:xfrm>
                        <a:custGeom>
                          <a:avLst/>
                          <a:gdLst/>
                          <a:ahLst/>
                          <a:cxnLst/>
                          <a:rect l="l" t="t" r="r" b="b"/>
                          <a:pathLst>
                            <a:path w="1757426" h="67056">
                              <a:moveTo>
                                <a:pt x="0" y="67056"/>
                              </a:moveTo>
                              <a:lnTo>
                                <a:pt x="1757426" y="67056"/>
                              </a:lnTo>
                              <a:lnTo>
                                <a:pt x="1757426"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7" o:spid="_x0000_s1026" o:spt="100" style="position:absolute;left:0pt;margin-left:366.75pt;margin-top:7.55pt;height:5.3pt;width:138.4pt;mso-position-horizontal-relative:page;z-index:-251648000;mso-width-relative:page;mso-height-relative:page;" fillcolor="#FFFFFF" filled="t" stroked="f" coordsize="1757426,67056" o:gfxdata="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hvIXVAAAACgEAAA8AAAAAAAAAAQAgAAAAIgAAAGRycy9k&#10;b3ducmV2LnhtbFBLAQIUABQAAAAIAIdO4kCuZ23LPgIAACEFAAAOAAAAAAAAAAEAIAAAACQBAABk&#10;cnMvZTJvRG9jLnhtbFBLBQYAAAAABgAGAFkBAADUBQAAAAA=&#10;" path="m0,67056l1757426,67056,1757426,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69504" behindDoc="1" locked="0" layoutInCell="1" allowOverlap="1">
                <wp:simplePos x="0" y="0"/>
                <wp:positionH relativeFrom="page">
                  <wp:posOffset>1149350</wp:posOffset>
                </wp:positionH>
                <wp:positionV relativeFrom="paragraph">
                  <wp:posOffset>168910</wp:posOffset>
                </wp:positionV>
                <wp:extent cx="801370" cy="1322705"/>
                <wp:effectExtent l="0" t="0" r="17780" b="10795"/>
                <wp:wrapNone/>
                <wp:docPr id="299" name="Freeform 299"/>
                <wp:cNvGraphicFramePr/>
                <a:graphic xmlns:a="http://schemas.openxmlformats.org/drawingml/2006/main">
                  <a:graphicData uri="http://schemas.microsoft.com/office/word/2010/wordprocessingShape">
                    <wps:wsp>
                      <wps:cNvSpPr/>
                      <wps:spPr>
                        <a:xfrm>
                          <a:off x="0" y="0"/>
                          <a:ext cx="801624" cy="1322832"/>
                        </a:xfrm>
                        <a:custGeom>
                          <a:avLst/>
                          <a:gdLst/>
                          <a:ahLst/>
                          <a:cxnLst/>
                          <a:rect l="l" t="t" r="r" b="b"/>
                          <a:pathLst>
                            <a:path w="801624" h="1322832">
                              <a:moveTo>
                                <a:pt x="0" y="1322832"/>
                              </a:moveTo>
                              <a:lnTo>
                                <a:pt x="801624" y="1322832"/>
                              </a:lnTo>
                              <a:lnTo>
                                <a:pt x="801624"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299" o:spid="_x0000_s1026" o:spt="100" style="position:absolute;left:0pt;margin-left:90.5pt;margin-top:13.3pt;height:104.15pt;width:63.1pt;mso-position-horizontal-relative:page;z-index:-251646976;mso-width-relative:page;mso-height-relative:page;" fillcolor="#FFFFFF" filled="t" stroked="f" coordsize="801624,1322832" o:gfxdata="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7rHK2gAAAAoBAAAPAAAAAAAAAAEAIAAAACIA&#10;AABkcnMvZG93bnJldi54bWxQSwECFAAUAAAACACHTuJAOCamIUACAAAnBQAADgAAAAAAAAABACAA&#10;AAApAQAAZHJzL2Uyb0RvYy54bWxQSwUGAAAAAAYABgBZAQAA2wUAAAAA&#10;" path="m0,1322832l801624,1322832,801624,0,0,0,0,1322832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3600" behindDoc="1" locked="0" layoutInCell="1" allowOverlap="1">
                <wp:simplePos x="0" y="0"/>
                <wp:positionH relativeFrom="page">
                  <wp:posOffset>1957070</wp:posOffset>
                </wp:positionH>
                <wp:positionV relativeFrom="paragraph">
                  <wp:posOffset>168910</wp:posOffset>
                </wp:positionV>
                <wp:extent cx="2698115" cy="67310"/>
                <wp:effectExtent l="0" t="0" r="6985" b="8890"/>
                <wp:wrapNone/>
                <wp:docPr id="300" name="Freeform 300"/>
                <wp:cNvGraphicFramePr/>
                <a:graphic xmlns:a="http://schemas.openxmlformats.org/drawingml/2006/main">
                  <a:graphicData uri="http://schemas.microsoft.com/office/word/2010/wordprocessingShape">
                    <wps:wsp>
                      <wps:cNvSpPr/>
                      <wps:spPr>
                        <a:xfrm>
                          <a:off x="0" y="0"/>
                          <a:ext cx="2698115" cy="67056"/>
                        </a:xfrm>
                        <a:custGeom>
                          <a:avLst/>
                          <a:gdLst/>
                          <a:ahLst/>
                          <a:cxnLst/>
                          <a:rect l="l" t="t" r="r" b="b"/>
                          <a:pathLst>
                            <a:path w="2698115" h="67056">
                              <a:moveTo>
                                <a:pt x="0" y="67056"/>
                              </a:moveTo>
                              <a:lnTo>
                                <a:pt x="2698115" y="67056"/>
                              </a:lnTo>
                              <a:lnTo>
                                <a:pt x="2698115"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0" o:spid="_x0000_s1026" o:spt="100" style="position:absolute;left:0pt;margin-left:154.1pt;margin-top:13.3pt;height:5.3pt;width:212.45pt;mso-position-horizontal-relative:page;z-index:-251642880;mso-width-relative:page;mso-height-relative:page;" fillcolor="#FFFFFF" filled="t" stroked="f" coordsize="2698115,67056" o:gfxdata="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1YY1wAAAAkBAAAPAAAAAAAAAAEAIAAAACIAAABkcnMv&#10;ZG93bnJldi54bWxQSwECFAAUAAAACACHTuJATSA5vj0CAAAhBQAADgAAAAAAAAABACAAAAAmAQAA&#10;ZHJzL2Uyb0RvYy54bWxQSwUGAAAAAAYABgBZAQAA1QUAAAAA&#10;" path="m0,67056l2698115,67056,2698115,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1552" behindDoc="1" locked="0" layoutInCell="1" allowOverlap="1">
                <wp:simplePos x="0" y="0"/>
                <wp:positionH relativeFrom="page">
                  <wp:posOffset>1957070</wp:posOffset>
                </wp:positionH>
                <wp:positionV relativeFrom="paragraph">
                  <wp:posOffset>168910</wp:posOffset>
                </wp:positionV>
                <wp:extent cx="2698115" cy="1322705"/>
                <wp:effectExtent l="0" t="0" r="6985" b="10795"/>
                <wp:wrapNone/>
                <wp:docPr id="301" name="Freeform 301"/>
                <wp:cNvGraphicFramePr/>
                <a:graphic xmlns:a="http://schemas.openxmlformats.org/drawingml/2006/main">
                  <a:graphicData uri="http://schemas.microsoft.com/office/word/2010/wordprocessingShape">
                    <wps:wsp>
                      <wps:cNvSpPr/>
                      <wps:spPr>
                        <a:xfrm>
                          <a:off x="0" y="0"/>
                          <a:ext cx="2698115" cy="1322832"/>
                        </a:xfrm>
                        <a:custGeom>
                          <a:avLst/>
                          <a:gdLst/>
                          <a:ahLst/>
                          <a:cxnLst/>
                          <a:rect l="l" t="t" r="r" b="b"/>
                          <a:pathLst>
                            <a:path w="2698115" h="1322832">
                              <a:moveTo>
                                <a:pt x="0" y="1322832"/>
                              </a:moveTo>
                              <a:lnTo>
                                <a:pt x="2698115" y="1322832"/>
                              </a:lnTo>
                              <a:lnTo>
                                <a:pt x="2698115"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1" o:spid="_x0000_s1026" o:spt="100" style="position:absolute;left:0pt;margin-left:154.1pt;margin-top:13.3pt;height:104.15pt;width:212.45pt;mso-position-horizontal-relative:page;z-index:-251644928;mso-width-relative:page;mso-height-relative:page;" fillcolor="#FFFFFF" filled="t" stroked="f" coordsize="2698115,1322832" o:gfxdata="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AvU7rYAAAACgEAAA8AAAAAAAAAAQAgAAAAIgAA&#10;AGRycy9kb3ducmV2LnhtbFBLAQIUABQAAAAIAIdO4kC9B5ZiQQIAACsFAAAOAAAAAAAAAAEAIAAA&#10;ACcBAABkcnMvZTJvRG9jLnhtbFBLBQYAAAAABgAGAFkBAADaBQAAAAA=&#10;" path="m0,1322832l2698115,1322832,2698115,0,0,0,0,1322832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4624" behindDoc="1" locked="0" layoutInCell="1" allowOverlap="1">
                <wp:simplePos x="0" y="0"/>
                <wp:positionH relativeFrom="page">
                  <wp:posOffset>4660900</wp:posOffset>
                </wp:positionH>
                <wp:positionV relativeFrom="paragraph">
                  <wp:posOffset>168910</wp:posOffset>
                </wp:positionV>
                <wp:extent cx="1751330" cy="67310"/>
                <wp:effectExtent l="0" t="0" r="1270" b="8890"/>
                <wp:wrapNone/>
                <wp:docPr id="302" name="Freeform 302"/>
                <wp:cNvGraphicFramePr/>
                <a:graphic xmlns:a="http://schemas.openxmlformats.org/drawingml/2006/main">
                  <a:graphicData uri="http://schemas.microsoft.com/office/word/2010/wordprocessingShape">
                    <wps:wsp>
                      <wps:cNvSpPr/>
                      <wps:spPr>
                        <a:xfrm>
                          <a:off x="0" y="0"/>
                          <a:ext cx="1751330" cy="67056"/>
                        </a:xfrm>
                        <a:custGeom>
                          <a:avLst/>
                          <a:gdLst/>
                          <a:ahLst/>
                          <a:cxnLst/>
                          <a:rect l="l" t="t" r="r" b="b"/>
                          <a:pathLst>
                            <a:path w="1751330" h="67056">
                              <a:moveTo>
                                <a:pt x="0" y="67056"/>
                              </a:moveTo>
                              <a:lnTo>
                                <a:pt x="1751330" y="67056"/>
                              </a:lnTo>
                              <a:lnTo>
                                <a:pt x="175133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2" o:spid="_x0000_s1026" o:spt="100" style="position:absolute;left:0pt;margin-left:367pt;margin-top:13.3pt;height:5.3pt;width:137.9pt;mso-position-horizontal-relative:page;z-index:-251641856;mso-width-relative:page;mso-height-relative:page;" fillcolor="#FFFFFF" filled="t" stroked="f" coordsize="1751330,67056" o:gfxdata="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l6x6jcAAAACgEAAA8AAAAAAAAAAQAgAAAAIgAA&#10;AGRycy9kb3ducmV2LnhtbFBLAQIUABQAAAAIAIdO4kD7+2idPQIAACEFAAAOAAAAAAAAAAEAIAAA&#10;ACsBAABkcnMvZTJvRG9jLnhtbFBLBQYAAAAABgAGAFkBAADaBQAAAAA=&#10;" path="m0,67056l1751330,67056,1751330,0,0,0,0,67056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mc:AlternateContent>
          <mc:Choice Requires="wps">
            <w:drawing>
              <wp:anchor distT="0" distB="0" distL="114300" distR="114300" simplePos="0" relativeHeight="251672576" behindDoc="1" locked="0" layoutInCell="1" allowOverlap="1">
                <wp:simplePos x="0" y="0"/>
                <wp:positionH relativeFrom="page">
                  <wp:posOffset>4660900</wp:posOffset>
                </wp:positionH>
                <wp:positionV relativeFrom="paragraph">
                  <wp:posOffset>168910</wp:posOffset>
                </wp:positionV>
                <wp:extent cx="1751330" cy="1322705"/>
                <wp:effectExtent l="0" t="0" r="1270" b="10795"/>
                <wp:wrapNone/>
                <wp:docPr id="303" name="Freeform 303"/>
                <wp:cNvGraphicFramePr/>
                <a:graphic xmlns:a="http://schemas.openxmlformats.org/drawingml/2006/main">
                  <a:graphicData uri="http://schemas.microsoft.com/office/word/2010/wordprocessingShape">
                    <wps:wsp>
                      <wps:cNvSpPr/>
                      <wps:spPr>
                        <a:xfrm>
                          <a:off x="0" y="0"/>
                          <a:ext cx="1751330" cy="1322832"/>
                        </a:xfrm>
                        <a:custGeom>
                          <a:avLst/>
                          <a:gdLst/>
                          <a:ahLst/>
                          <a:cxnLst/>
                          <a:rect l="l" t="t" r="r" b="b"/>
                          <a:pathLst>
                            <a:path w="1751330" h="1322832">
                              <a:moveTo>
                                <a:pt x="0" y="1322832"/>
                              </a:moveTo>
                              <a:lnTo>
                                <a:pt x="1751330" y="1322832"/>
                              </a:lnTo>
                              <a:lnTo>
                                <a:pt x="1751330" y="0"/>
                              </a:lnTo>
                              <a:lnTo>
                                <a:pt x="0" y="0"/>
                              </a:lnTo>
                              <a:lnTo>
                                <a:pt x="0" y="1322832"/>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3" o:spid="_x0000_s1026" o:spt="100" style="position:absolute;left:0pt;margin-left:367pt;margin-top:13.3pt;height:104.15pt;width:137.9pt;mso-position-horizontal-relative:page;z-index:-251643904;mso-width-relative:page;mso-height-relative:page;" fillcolor="#FFFFFF" filled="t" stroked="f" coordsize="1751330,1322832" o:gfxdata="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KcoljdAAAACwEAAA8AAAAAAAAAAQAgAAAA&#10;IgAAAGRycy9kb3ducmV2LnhtbFBLAQIUABQAAAAIAIdO4kBFt6PQPwIAACsFAAAOAAAAAAAAAAEA&#10;IAAAACwBAABkcnMvZTJvRG9jLnhtbFBLBQYAAAAABgAGAFkBAADdBQAAAAA=&#10;" path="m0,1322832l1751330,1322832,1751330,0,0,0,0,1322832xe">
                <v:fill on="t" focussize="0,0"/>
                <v:stroke on="f" weight="1pt" miterlimit="8" joinstyle="miter"/>
                <v:imagedata o:title=""/>
                <o:lock v:ext="edit" aspectratio="f"/>
              </v:shape>
            </w:pict>
          </mc:Fallback>
        </mc:AlternateContent>
      </w:r>
    </w:p>
    <w:tbl>
      <w:tblPr>
        <w:tblStyle w:val="21"/>
        <w:tblpPr w:vertAnchor="text" w:horzAnchor="page" w:tblpX="1395" w:tblpY="132"/>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1"/>
        <w:gridCol w:w="4249"/>
        <w:gridCol w:w="3446"/>
      </w:tblGrid>
      <w:tr w14:paraId="2D34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01" w:type="dxa"/>
          </w:tcPr>
          <w:p w14:paraId="18D85E6B">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价格选项</w:t>
            </w:r>
          </w:p>
        </w:tc>
        <w:tc>
          <w:tcPr>
            <w:tcW w:w="4249" w:type="dxa"/>
          </w:tcPr>
          <w:p w14:paraId="6EB5BE05">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取值说明</w:t>
            </w:r>
          </w:p>
        </w:tc>
        <w:tc>
          <w:tcPr>
            <w:tcW w:w="3446" w:type="dxa"/>
          </w:tcPr>
          <w:p w14:paraId="43124177">
            <w:pPr>
              <w:numPr>
                <w:ilvl w:val="0"/>
                <w:numId w:val="0"/>
              </w:numPr>
              <w:ind w:left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浮动说明</w:t>
            </w:r>
          </w:p>
        </w:tc>
      </w:tr>
      <w:tr w14:paraId="772F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7" w:hRule="atLeast"/>
        </w:trPr>
        <w:tc>
          <w:tcPr>
            <w:tcW w:w="1401" w:type="dxa"/>
            <w:vAlign w:val="center"/>
          </w:tcPr>
          <w:p w14:paraId="446CCE8F">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指定价</w:t>
            </w:r>
          </w:p>
        </w:tc>
        <w:tc>
          <w:tcPr>
            <w:tcW w:w="4249" w:type="dxa"/>
            <w:vAlign w:val="center"/>
          </w:tcPr>
          <w:p w14:paraId="7CE9CD3A">
            <w:pPr>
              <w:numPr>
                <w:ilvl w:val="0"/>
                <w:numId w:val="0"/>
              </w:numPr>
              <w:ind w:lef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成分券列表中"指定价"，即用户自定义价格</w:t>
            </w:r>
          </w:p>
        </w:tc>
        <w:tc>
          <w:tcPr>
            <w:tcW w:w="3446" w:type="dxa"/>
          </w:tcPr>
          <w:p w14:paraId="08DC86A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允许上下浮动，有涨跌停价的标的浮动上下限为涨跌停价，超过上/下限的分别按涨/跌停价报单；</w:t>
            </w:r>
          </w:p>
          <w:p w14:paraId="5993C2AF">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无涨跌停限制的不设限，按用户设置的值下单  </w:t>
            </w:r>
          </w:p>
        </w:tc>
      </w:tr>
      <w:tr w14:paraId="7E13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3" w:hRule="atLeast"/>
        </w:trPr>
        <w:tc>
          <w:tcPr>
            <w:tcW w:w="1401" w:type="dxa"/>
            <w:vAlign w:val="center"/>
          </w:tcPr>
          <w:p w14:paraId="4388D7D8">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自动盘口</w:t>
            </w:r>
          </w:p>
        </w:tc>
        <w:tc>
          <w:tcPr>
            <w:tcW w:w="4249" w:type="dxa"/>
            <w:vAlign w:val="center"/>
          </w:tcPr>
          <w:p w14:paraId="7061344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是指根据当前的委托数量、买卖方向以及5档行情买卖盘的价格和数量，自动计算出的委托价格，使得按当前盘口情况可以完全成交。如果当前5档的盘口总量小于委托数量时，则取第5档价格</w:t>
            </w:r>
          </w:p>
        </w:tc>
        <w:tc>
          <w:tcPr>
            <w:tcW w:w="3446" w:type="dxa"/>
          </w:tcPr>
          <w:p w14:paraId="481638F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 价的标的浮动上下限为涨 跌停价，超过上/下限的分别按涨/跌停价报单；</w:t>
            </w:r>
          </w:p>
          <w:p w14:paraId="2F85465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 户设置的值下单  </w:t>
            </w:r>
          </w:p>
        </w:tc>
      </w:tr>
      <w:tr w14:paraId="209F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232E5D7D">
            <w:pPr>
              <w:numPr>
                <w:ilvl w:val="0"/>
                <w:numId w:val="0"/>
              </w:numPr>
              <w:ind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w:t>
            </w:r>
          </w:p>
        </w:tc>
        <w:tc>
          <w:tcPr>
            <w:tcW w:w="4249" w:type="dxa"/>
            <w:vAlign w:val="center"/>
          </w:tcPr>
          <w:p w14:paraId="6FC393EF">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行情中的最新价，取不到最新价，按“今</w:t>
            </w:r>
          </w:p>
          <w:p w14:paraId="4C54B6A4">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收盘价—开盘价—昨收价”顺序取值</w:t>
            </w:r>
          </w:p>
        </w:tc>
        <w:tc>
          <w:tcPr>
            <w:tcW w:w="3446" w:type="dxa"/>
          </w:tcPr>
          <w:p w14:paraId="0FC29375">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允许上下浮动，有涨跌停价的标的浮动上下限为涨跌停价，超过上/下限的分别按涨/跌停价报单；</w:t>
            </w:r>
          </w:p>
          <w:p w14:paraId="60EDEE3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无涨跌停限制的不设限，按用户设置的值下单 </w:t>
            </w:r>
          </w:p>
        </w:tc>
      </w:tr>
      <w:tr w14:paraId="6BF8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1401" w:type="dxa"/>
            <w:vAlign w:val="center"/>
          </w:tcPr>
          <w:p w14:paraId="395D632D">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对手价</w:t>
            </w:r>
          </w:p>
        </w:tc>
        <w:tc>
          <w:tcPr>
            <w:tcW w:w="4249" w:type="dxa"/>
            <w:vAlign w:val="center"/>
          </w:tcPr>
          <w:p w14:paraId="06C5C35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买方向取卖一价、卖方向取买一价，取不</w:t>
            </w:r>
          </w:p>
          <w:p w14:paraId="669A9A0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到对手价，按“最新价—今收盘价—开盘</w:t>
            </w:r>
          </w:p>
          <w:p w14:paraId="1E85905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价—昨收价”顺序取值</w:t>
            </w:r>
          </w:p>
        </w:tc>
        <w:tc>
          <w:tcPr>
            <w:tcW w:w="3446" w:type="dxa"/>
            <w:vAlign w:val="top"/>
          </w:tcPr>
          <w:p w14:paraId="4019FC5A">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允许上下浮动，有涨跌停 价的标的浮动上下限为涨 跌停价，超过上/下限的分别按涨/跌停价报单；无涨跌停限制的不设限，按用户设置的值下单</w:t>
            </w:r>
          </w:p>
        </w:tc>
      </w:tr>
      <w:tr w14:paraId="18F7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34B52BEE">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涨停价</w:t>
            </w:r>
          </w:p>
        </w:tc>
        <w:tc>
          <w:tcPr>
            <w:tcW w:w="4249" w:type="dxa"/>
            <w:vAlign w:val="center"/>
          </w:tcPr>
          <w:p w14:paraId="3E03C038">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行情中的涨停价，取不到涨停价的按“卖</w:t>
            </w:r>
          </w:p>
          <w:p w14:paraId="50E90211">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五价—卖四价—卖三价—卖二价—卖一价</w:t>
            </w:r>
          </w:p>
          <w:p w14:paraId="3E08BACC">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—最新价—今收盘价—开盘价—昨收价”</w:t>
            </w:r>
          </w:p>
          <w:p w14:paraId="4A5DBF5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顺序取值</w:t>
            </w:r>
          </w:p>
        </w:tc>
        <w:tc>
          <w:tcPr>
            <w:tcW w:w="3446" w:type="dxa"/>
            <w:vAlign w:val="top"/>
          </w:tcPr>
          <w:p w14:paraId="2610A863">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仅允许向下浮动，浮动下 限为跌停价，低于下限的 按跌停价报单；无涨跌停 限制的不设限，按用户设 置的值下单</w:t>
            </w:r>
          </w:p>
        </w:tc>
      </w:tr>
      <w:tr w14:paraId="1032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43026F22">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卖/买*价 (*可以是 五到一)</w:t>
            </w:r>
          </w:p>
        </w:tc>
        <w:tc>
          <w:tcPr>
            <w:tcW w:w="4249" w:type="dxa"/>
            <w:vAlign w:val="center"/>
          </w:tcPr>
          <w:p w14:paraId="79C92399">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行情中的买/卖*价，取不到买/卖*价的按 “买/卖*价……（逐级递减）—买/卖一价 —最新价—今收盘价—开盘价—昨收价” 顺序取值</w:t>
            </w:r>
          </w:p>
        </w:tc>
        <w:tc>
          <w:tcPr>
            <w:tcW w:w="3446" w:type="dxa"/>
            <w:vAlign w:val="top"/>
          </w:tcPr>
          <w:p w14:paraId="74739137">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允许上下浮动，有涨跌停 价的标的浮动上下限为涨 跌停价，超过上/下限的分 </w:t>
            </w:r>
          </w:p>
          <w:p w14:paraId="1BF854ED">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别按涨/跌停价报单；无涨 跌停限制的不设限，按用 户设置的值下单  </w:t>
            </w:r>
          </w:p>
        </w:tc>
      </w:tr>
      <w:tr w14:paraId="4532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trPr>
        <w:tc>
          <w:tcPr>
            <w:tcW w:w="1401" w:type="dxa"/>
            <w:vAlign w:val="center"/>
          </w:tcPr>
          <w:p w14:paraId="73500EF9">
            <w:pPr>
              <w:numPr>
                <w:ilvl w:val="0"/>
                <w:numId w:val="0"/>
              </w:numPr>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跌停价</w:t>
            </w:r>
          </w:p>
        </w:tc>
        <w:tc>
          <w:tcPr>
            <w:tcW w:w="4249" w:type="dxa"/>
            <w:vAlign w:val="center"/>
          </w:tcPr>
          <w:p w14:paraId="40C1F727">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行情中的跌停价，取不到跌停价的按“买</w:t>
            </w:r>
          </w:p>
          <w:p w14:paraId="6637995B">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五价—买四价—买三价—买二价—买一价</w:t>
            </w:r>
          </w:p>
          <w:p w14:paraId="61FE85C2">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—最新价—今收盘价—开盘价—昨收价”</w:t>
            </w:r>
          </w:p>
          <w:p w14:paraId="3F9C91F0">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顺序取值</w:t>
            </w:r>
          </w:p>
        </w:tc>
        <w:tc>
          <w:tcPr>
            <w:tcW w:w="3446" w:type="dxa"/>
            <w:vAlign w:val="top"/>
          </w:tcPr>
          <w:p w14:paraId="2908A101">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firstLine="0" w:firstLineChars="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仅允许向上浮动，浮动上 限为涨停价，高于上限的 按涨停价报单；无涨跌停 限制的不设限，按用户设 置的值下单  </w:t>
            </w:r>
          </w:p>
        </w:tc>
      </w:tr>
    </w:tbl>
    <w:p w14:paraId="33B40644">
      <w:pPr>
        <w:numPr>
          <w:ilvl w:val="0"/>
          <w:numId w:val="0"/>
        </w:numPr>
        <w:ind w:leftChars="0"/>
        <w:jc w:val="left"/>
        <w:rPr>
          <w:rFonts w:hint="eastAsia" w:ascii="宋体" w:hAnsi="宋体" w:eastAsia="宋体" w:cs="宋体"/>
          <w:color w:val="000000"/>
          <w:sz w:val="21"/>
          <w:szCs w:val="21"/>
          <w:lang w:val="en-US" w:eastAsia="zh-CN"/>
        </w:rPr>
      </w:pPr>
    </w:p>
    <w:p w14:paraId="0F85AF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mc:AlternateContent>
          <mc:Choice Requires="wps">
            <w:drawing>
              <wp:anchor distT="0" distB="0" distL="114300" distR="114300" simplePos="0" relativeHeight="251670528" behindDoc="1" locked="0" layoutInCell="1" allowOverlap="1">
                <wp:simplePos x="0" y="0"/>
                <wp:positionH relativeFrom="page">
                  <wp:posOffset>1242060</wp:posOffset>
                </wp:positionH>
                <wp:positionV relativeFrom="paragraph">
                  <wp:posOffset>60960</wp:posOffset>
                </wp:positionV>
                <wp:extent cx="615950" cy="198120"/>
                <wp:effectExtent l="0" t="0" r="12700" b="11430"/>
                <wp:wrapNone/>
                <wp:docPr id="304" name="Freeform 304"/>
                <wp:cNvGraphicFramePr/>
                <a:graphic xmlns:a="http://schemas.openxmlformats.org/drawingml/2006/main">
                  <a:graphicData uri="http://schemas.microsoft.com/office/word/2010/wordprocessingShape">
                    <wps:wsp>
                      <wps:cNvSpPr/>
                      <wps:spPr>
                        <a:xfrm>
                          <a:off x="0" y="0"/>
                          <a:ext cx="615696" cy="198120"/>
                        </a:xfrm>
                        <a:custGeom>
                          <a:avLst/>
                          <a:gdLst/>
                          <a:ahLst/>
                          <a:cxnLst/>
                          <a:rect l="l" t="t" r="r" b="b"/>
                          <a:pathLst>
                            <a:path w="615696" h="198120">
                              <a:moveTo>
                                <a:pt x="0" y="198120"/>
                              </a:moveTo>
                              <a:lnTo>
                                <a:pt x="615696" y="198120"/>
                              </a:lnTo>
                              <a:lnTo>
                                <a:pt x="615696" y="0"/>
                              </a:lnTo>
                              <a:lnTo>
                                <a:pt x="0" y="0"/>
                              </a:lnTo>
                              <a:lnTo>
                                <a:pt x="0" y="198120"/>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04" o:spid="_x0000_s1026" o:spt="100" style="position:absolute;left:0pt;margin-left:97.8pt;margin-top:4.8pt;height:15.6pt;width:48.5pt;mso-position-horizontal-relative:page;z-index:-251645952;mso-width-relative:page;mso-height-relative:page;" fillcolor="#FFFFFF" filled="t" stroked="f" coordsize="615696,198120" o:gfxdata="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r3cw9MAAAAIAQAADwAAAAAAAAABACAAAAAiAAAAZHJz&#10;L2Rvd25yZXYueG1sUEsBAhQAFAAAAAgAh07iQG7hORpCAgAAIgUAAA4AAAAAAAAAAQAgAAAAIgEA&#10;AGRycy9lMm9Eb2MueG1sUEsFBgAAAAAGAAYAWQEAANYFAAAAAA==&#10;" path="m0,198120l615696,198120,615696,0,0,0,0,198120xe">
                <v:fill on="t" focussize="0,0"/>
                <v:stroke on="f" weight="1pt" miterlimit="8" joinstyle="miter"/>
                <v:imagedata o:title=""/>
                <o:lock v:ext="edit" aspectratio="f"/>
              </v:shape>
            </w:pict>
          </mc:Fallback>
        </mc:AlternateContent>
      </w:r>
      <w:r>
        <w:rPr>
          <w:rFonts w:hint="eastAsia" w:ascii="宋体" w:hAnsi="宋体" w:eastAsia="宋体" w:cs="宋体"/>
          <w:lang w:val="en-US" w:eastAsia="zh-CN"/>
        </w:rPr>
        <w:t>（2）市价模式</w:t>
      </w:r>
    </w:p>
    <w:p w14:paraId="340879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市价模式下，需分别选择上海和深圳两个市场的市价类型，下单时组合中所属市场为上海的 成分股按上海市价类型报单，所属市场为深圳的成分股按深圳市价报单。操作如图所示： </w:t>
      </w:r>
    </w:p>
    <w:p w14:paraId="23FC7A2E">
      <w:pPr>
        <w:numPr>
          <w:ilvl w:val="0"/>
          <w:numId w:val="0"/>
        </w:numPr>
        <w:ind w:leftChars="0"/>
        <w:jc w:val="center"/>
        <w:rPr>
          <w:rFonts w:hint="eastAsia" w:ascii="宋体" w:hAnsi="宋体" w:eastAsia="宋体" w:cs="宋体"/>
        </w:rPr>
      </w:pPr>
      <w:r>
        <w:rPr>
          <w:rFonts w:hint="eastAsia" w:ascii="宋体" w:hAnsi="宋体" w:eastAsia="宋体" w:cs="宋体"/>
        </w:rPr>
        <w:drawing>
          <wp:inline distT="0" distB="0" distL="114300" distR="114300">
            <wp:extent cx="2381250" cy="4552950"/>
            <wp:effectExtent l="0" t="0" r="0" b="0"/>
            <wp:docPr id="18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5"/>
                    <pic:cNvPicPr>
                      <a:picLocks noChangeAspect="1"/>
                    </pic:cNvPicPr>
                  </pic:nvPicPr>
                  <pic:blipFill>
                    <a:blip r:embed="rId69"/>
                    <a:stretch>
                      <a:fillRect/>
                    </a:stretch>
                  </pic:blipFill>
                  <pic:spPr>
                    <a:xfrm>
                      <a:off x="0" y="0"/>
                      <a:ext cx="2381250" cy="4552950"/>
                    </a:xfrm>
                    <a:prstGeom prst="rect">
                      <a:avLst/>
                    </a:prstGeom>
                    <a:noFill/>
                    <a:ln>
                      <a:noFill/>
                    </a:ln>
                  </pic:spPr>
                </pic:pic>
              </a:graphicData>
            </a:graphic>
          </wp:inline>
        </w:drawing>
      </w:r>
    </w:p>
    <w:p w14:paraId="0320E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mc:AlternateContent>
          <mc:Choice Requires="wps">
            <w:drawing>
              <wp:anchor distT="0" distB="0" distL="114300" distR="114300" simplePos="0" relativeHeight="251675648" behindDoc="1" locked="0" layoutInCell="1" allowOverlap="1">
                <wp:simplePos x="0" y="0"/>
                <wp:positionH relativeFrom="page">
                  <wp:posOffset>1146175</wp:posOffset>
                </wp:positionH>
                <wp:positionV relativeFrom="paragraph">
                  <wp:posOffset>20955</wp:posOffset>
                </wp:positionV>
                <wp:extent cx="807720" cy="67310"/>
                <wp:effectExtent l="0" t="0" r="11430" b="8890"/>
                <wp:wrapNone/>
                <wp:docPr id="313" name="Freeform 313"/>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3" o:spid="_x0000_s1026" o:spt="100" style="position:absolute;left:0pt;margin-left:90.25pt;margin-top:1.65pt;height:5.3pt;width:63.6pt;mso-position-horizontal-relative:page;z-index:-251640832;mso-width-relative:page;mso-height-relative:page;" fillcolor="#FFFFFF" filled="t" stroked="f" coordsize="807720,67056" o:gfxdata="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NI7t2AAAAAgBAAAPAAAAAAAAAAEAIAAAACIAAABkcnMv&#10;ZG93bnJldi54bWxQSwECFAAUAAAACACHTuJAngTt8DwCAAAdBQAADgAAAAAAAAABACAAAAAnAQAA&#10;ZHJzL2Uyb0RvYy54bWxQSwUGAAAAAAYABgBZAQAA1QU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6672" behindDoc="1" locked="0" layoutInCell="1" allowOverlap="1">
                <wp:simplePos x="0" y="0"/>
                <wp:positionH relativeFrom="page">
                  <wp:posOffset>1149350</wp:posOffset>
                </wp:positionH>
                <wp:positionV relativeFrom="paragraph">
                  <wp:posOffset>93980</wp:posOffset>
                </wp:positionV>
                <wp:extent cx="801370" cy="67310"/>
                <wp:effectExtent l="0" t="0" r="17780" b="8890"/>
                <wp:wrapNone/>
                <wp:docPr id="316" name="Freeform 316"/>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16" o:spid="_x0000_s1026" o:spt="100" style="position:absolute;left:0pt;margin-left:90.5pt;margin-top:7.4pt;height:5.3pt;width:63.1pt;mso-position-horizontal-relative:page;z-index:-251639808;mso-width-relative:page;mso-height-relative:page;" fillcolor="#FFFFFF" filled="t" stroked="f" coordsize="801624,67056" o:gfxdata="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DlvK/YAAAACQEAAA8AAAAAAAAAAQAgAAAAIgAAAGRy&#10;cy9kb3ducmV2LnhtbFBLAQIUABQAAAAIAIdO4kBwdO/zPgIAAB0FAAAOAAAAAAAAAAEAIAAAACcB&#10;AABkcnMvZTJvRG9jLnhtbFBLBQYAAAAABgAGAFkBAADX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7696" behindDoc="1" locked="0" layoutInCell="1" allowOverlap="1">
                <wp:simplePos x="0" y="0"/>
                <wp:positionH relativeFrom="page">
                  <wp:posOffset>1146175</wp:posOffset>
                </wp:positionH>
                <wp:positionV relativeFrom="paragraph">
                  <wp:posOffset>123825</wp:posOffset>
                </wp:positionV>
                <wp:extent cx="807720" cy="67310"/>
                <wp:effectExtent l="0" t="0" r="11430" b="8890"/>
                <wp:wrapNone/>
                <wp:docPr id="334" name="Freeform 334"/>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34" o:spid="_x0000_s1026" o:spt="100" style="position:absolute;left:0pt;margin-left:90.25pt;margin-top:9.75pt;height:5.3pt;width:63.6pt;mso-position-horizontal-relative:page;z-index:-251638784;mso-width-relative:page;mso-height-relative:page;" fillcolor="#FFFFFF" filled="t" stroked="f" coordsize="807720,67056" o:gfxdata="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aXxU9gAAAAJAQAADwAAAAAAAAABACAAAAAiAAAAZHJz&#10;L2Rvd25yZXYueG1sUEsBAhQAFAAAAAgAh07iQMlocMg9AgAAHQUAAA4AAAAAAAAAAQAgAAAAJwEA&#10;AGRycy9lMm9Eb2MueG1sUEsFBgAAAAAGAAYAWQEAANYFA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8720" behindDoc="1" locked="0" layoutInCell="1" allowOverlap="1">
                <wp:simplePos x="0" y="0"/>
                <wp:positionH relativeFrom="page">
                  <wp:posOffset>1149350</wp:posOffset>
                </wp:positionH>
                <wp:positionV relativeFrom="paragraph">
                  <wp:posOffset>21590</wp:posOffset>
                </wp:positionV>
                <wp:extent cx="801370" cy="67310"/>
                <wp:effectExtent l="0" t="0" r="17780" b="8890"/>
                <wp:wrapNone/>
                <wp:docPr id="337" name="Freeform 337"/>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37" o:spid="_x0000_s1026" o:spt="100" style="position:absolute;left:0pt;margin-left:90.5pt;margin-top:1.7pt;height:5.3pt;width:63.1pt;mso-position-horizontal-relative:page;z-index:-251637760;mso-width-relative:page;mso-height-relative:page;" fillcolor="#FFFFFF" filled="t" stroked="f" coordsize="801624,67056" o:gfxdata="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suY1fWAAAACAEAAA8AAAAAAAAAAQAgAAAAIgAAAGRycy9k&#10;b3ducmV2LnhtbFBLAQIUABQAAAAIAIdO4kDGfAjqPQIAAB0FAAAOAAAAAAAAAAEAIAAAACUBAABk&#10;cnMvZTJvRG9jLnhtbFBLBQYAAAAABgAGAFkBAADU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79744" behindDoc="1" locked="0" layoutInCell="1" allowOverlap="1">
                <wp:simplePos x="0" y="0"/>
                <wp:positionH relativeFrom="page">
                  <wp:posOffset>1146175</wp:posOffset>
                </wp:positionH>
                <wp:positionV relativeFrom="page">
                  <wp:posOffset>9688830</wp:posOffset>
                </wp:positionV>
                <wp:extent cx="807720" cy="67310"/>
                <wp:effectExtent l="0" t="0" r="11430" b="8890"/>
                <wp:wrapNone/>
                <wp:docPr id="349" name="Freeform 349"/>
                <wp:cNvGraphicFramePr/>
                <a:graphic xmlns:a="http://schemas.openxmlformats.org/drawingml/2006/main">
                  <a:graphicData uri="http://schemas.microsoft.com/office/word/2010/wordprocessingShape">
                    <wps:wsp>
                      <wps:cNvSpPr/>
                      <wps:spPr>
                        <a:xfrm>
                          <a:off x="0" y="0"/>
                          <a:ext cx="807720" cy="67056"/>
                        </a:xfrm>
                        <a:custGeom>
                          <a:avLst/>
                          <a:gdLst/>
                          <a:ahLst/>
                          <a:cxnLst/>
                          <a:rect l="l" t="t" r="r" b="b"/>
                          <a:pathLst>
                            <a:path w="807720" h="67056">
                              <a:moveTo>
                                <a:pt x="0" y="67056"/>
                              </a:moveTo>
                              <a:lnTo>
                                <a:pt x="807720" y="67056"/>
                              </a:lnTo>
                              <a:lnTo>
                                <a:pt x="80772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49" o:spid="_x0000_s1026" o:spt="100" style="position:absolute;left:0pt;margin-left:90.25pt;margin-top:762.9pt;height:5.3pt;width:63.6pt;mso-position-horizontal-relative:page;mso-position-vertical-relative:page;z-index:-251636736;mso-width-relative:page;mso-height-relative:page;" fillcolor="#FFFFFF" filled="t" stroked="f" coordsize="807720,67056" o:gfxdata="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rhqvTcAAAADQEAAA8AAAAAAAAAAQAgAAAAIgAA&#10;AGRycy9kb3ducmV2LnhtbFBLAQIUABQAAAAIAIdO4kByVdkvPQIAAB0FAAAOAAAAAAAAAAEAIAAA&#10;ACsBAABkcnMvZTJvRG9jLnhtbFBLBQYAAAAABgAGAFkBAADaBQAAAAA=&#10;" path="m0,67056l807720,67056,80772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2816" behindDoc="1" locked="0" layoutInCell="1" allowOverlap="1">
                <wp:simplePos x="0" y="0"/>
                <wp:positionH relativeFrom="page">
                  <wp:posOffset>1953895</wp:posOffset>
                </wp:positionH>
                <wp:positionV relativeFrom="page">
                  <wp:posOffset>9688830</wp:posOffset>
                </wp:positionV>
                <wp:extent cx="2704465" cy="67310"/>
                <wp:effectExtent l="0" t="0" r="635" b="8890"/>
                <wp:wrapNone/>
                <wp:docPr id="350" name="Freeform 350"/>
                <wp:cNvGraphicFramePr/>
                <a:graphic xmlns:a="http://schemas.openxmlformats.org/drawingml/2006/main">
                  <a:graphicData uri="http://schemas.microsoft.com/office/word/2010/wordprocessingShape">
                    <wps:wsp>
                      <wps:cNvSpPr/>
                      <wps:spPr>
                        <a:xfrm>
                          <a:off x="0" y="0"/>
                          <a:ext cx="2704210" cy="67056"/>
                        </a:xfrm>
                        <a:custGeom>
                          <a:avLst/>
                          <a:gdLst/>
                          <a:ahLst/>
                          <a:cxnLst/>
                          <a:rect l="l" t="t" r="r" b="b"/>
                          <a:pathLst>
                            <a:path w="2704210" h="67056">
                              <a:moveTo>
                                <a:pt x="0" y="67056"/>
                              </a:moveTo>
                              <a:lnTo>
                                <a:pt x="2704210" y="67056"/>
                              </a:lnTo>
                              <a:lnTo>
                                <a:pt x="2704210"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0" o:spid="_x0000_s1026" o:spt="100" style="position:absolute;left:0pt;margin-left:153.85pt;margin-top:762.9pt;height:5.3pt;width:212.95pt;mso-position-horizontal-relative:page;mso-position-vertical-relative:page;z-index:-251633664;mso-width-relative:page;mso-height-relative:page;" fillcolor="#FFFFFF" filled="t" stroked="f" coordsize="2704210,67056" o:gfxdata="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K8W/PbAAAADQEAAA8AAAAAAAAAAQAgAAAAIgAAAGRy&#10;cy9kb3ducmV2LnhtbFBLAQIUABQAAAAIAIdO4kCNbP7XOwIAACEFAAAOAAAAAAAAAAEAIAAAACoB&#10;AABkcnMvZTJvRG9jLnhtbFBLBQYAAAAABgAGAFkBAADXBQAAAAA=&#10;" path="m0,67056l2704210,67056,2704210,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4864" behindDoc="1" locked="0" layoutInCell="1" allowOverlap="1">
                <wp:simplePos x="0" y="0"/>
                <wp:positionH relativeFrom="page">
                  <wp:posOffset>4657725</wp:posOffset>
                </wp:positionH>
                <wp:positionV relativeFrom="page">
                  <wp:posOffset>9688830</wp:posOffset>
                </wp:positionV>
                <wp:extent cx="1757680" cy="67310"/>
                <wp:effectExtent l="0" t="0" r="13970" b="8890"/>
                <wp:wrapNone/>
                <wp:docPr id="351" name="Freeform 351"/>
                <wp:cNvGraphicFramePr/>
                <a:graphic xmlns:a="http://schemas.openxmlformats.org/drawingml/2006/main">
                  <a:graphicData uri="http://schemas.microsoft.com/office/word/2010/wordprocessingShape">
                    <wps:wsp>
                      <wps:cNvSpPr/>
                      <wps:spPr>
                        <a:xfrm>
                          <a:off x="0" y="0"/>
                          <a:ext cx="1757426" cy="67056"/>
                        </a:xfrm>
                        <a:custGeom>
                          <a:avLst/>
                          <a:gdLst/>
                          <a:ahLst/>
                          <a:cxnLst/>
                          <a:rect l="l" t="t" r="r" b="b"/>
                          <a:pathLst>
                            <a:path w="1757426" h="67056">
                              <a:moveTo>
                                <a:pt x="0" y="67056"/>
                              </a:moveTo>
                              <a:lnTo>
                                <a:pt x="1757426" y="67056"/>
                              </a:lnTo>
                              <a:lnTo>
                                <a:pt x="1757426"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1" o:spid="_x0000_s1026" o:spt="100" style="position:absolute;left:0pt;margin-left:366.75pt;margin-top:762.9pt;height:5.3pt;width:138.4pt;mso-position-horizontal-relative:page;mso-position-vertical-relative:page;z-index:-251631616;mso-width-relative:page;mso-height-relative:page;" fillcolor="#FFFFFF" filled="t" stroked="f" coordsize="1757426,67056" o:gfxdata="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N9anbYAAAADgEAAA8AAAAAAAAAAQAgAAAAIgAAAGRy&#10;cy9kb3ducmV2LnhtbFBLAQIUABQAAAAIAIdO4kDwWq1LPgIAACEFAAAOAAAAAAAAAAEAIAAAACcB&#10;AABkcnMvZTJvRG9jLnhtbFBLBQYAAAAABgAGAFkBAADXBQAAAAA=&#10;" path="m0,67056l1757426,67056,1757426,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1792" behindDoc="1" locked="0" layoutInCell="1" allowOverlap="1">
                <wp:simplePos x="0" y="0"/>
                <wp:positionH relativeFrom="page">
                  <wp:posOffset>1143000</wp:posOffset>
                </wp:positionH>
                <wp:positionV relativeFrom="page">
                  <wp:posOffset>9756140</wp:posOffset>
                </wp:positionV>
                <wp:extent cx="6350" cy="6350"/>
                <wp:effectExtent l="0" t="0" r="0" b="0"/>
                <wp:wrapNone/>
                <wp:docPr id="352" name="Freeform 3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2" o:spid="_x0000_s1026" o:spt="100" style="position:absolute;left:0pt;margin-left:90pt;margin-top:768.2pt;height:0.5pt;width:0.5pt;mso-position-horizontal-relative:page;mso-position-vertical-relative:page;z-index:-251634688;mso-width-relative:page;mso-height-relative:page;" fillcolor="#000000" filled="t" stroked="f" coordsize="6096,6096" o:gfxdata="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aCO62gAAAA0BAAAPAAAAAAAAAAEAIAAAACIAAABkcnMvZG93&#10;bnJldi54bWxQSwECFAAUAAAACACHTuJAYzfRNjcCAAAQBQAADgAAAAAAAAABACAAAAApAQAAZHJz&#10;L2Uyb0RvYy54bWxQSwUGAAAAAAYABgBZAQAA0g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0768" behindDoc="1" locked="0" layoutInCell="1" allowOverlap="1">
                <wp:simplePos x="0" y="0"/>
                <wp:positionH relativeFrom="page">
                  <wp:posOffset>1143000</wp:posOffset>
                </wp:positionH>
                <wp:positionV relativeFrom="page">
                  <wp:posOffset>9756140</wp:posOffset>
                </wp:positionV>
                <wp:extent cx="6350" cy="6350"/>
                <wp:effectExtent l="0" t="0" r="0" b="0"/>
                <wp:wrapNone/>
                <wp:docPr id="353" name="Freeform 3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3" o:spid="_x0000_s1026" o:spt="100" style="position:absolute;left:0pt;margin-left:90pt;margin-top:768.2pt;height:0.5pt;width:0.5pt;mso-position-horizontal-relative:page;mso-position-vertical-relative:page;z-index:-251635712;mso-width-relative:page;mso-height-relative:page;" fillcolor="#000000" filled="t" stroked="f" coordsize="6096,6096" o:gfxdata="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aCO62gAAAA0BAAAPAAAAAAAAAAEAIAAAACIAAABkcnMvZG93&#10;bnJldi54bWxQSwECFAAUAAAACACHTuJA18a1GzcCAAAQBQAADgAAAAAAAAABACAAAAApAQAAZHJz&#10;L2Uyb0RvYy54bWxQSwUGAAAAAAYABgBZAQAA0g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3840" behindDoc="1" locked="0" layoutInCell="1" allowOverlap="1">
                <wp:simplePos x="0" y="0"/>
                <wp:positionH relativeFrom="page">
                  <wp:posOffset>1950720</wp:posOffset>
                </wp:positionH>
                <wp:positionV relativeFrom="page">
                  <wp:posOffset>9756140</wp:posOffset>
                </wp:positionV>
                <wp:extent cx="6350" cy="6350"/>
                <wp:effectExtent l="0" t="0" r="0" b="0"/>
                <wp:wrapNone/>
                <wp:docPr id="354" name="Freeform 35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4" o:spid="_x0000_s1026" o:spt="100" style="position:absolute;left:0pt;margin-left:153.6pt;margin-top:768.2pt;height:0.5pt;width:0.5pt;mso-position-horizontal-relative:page;mso-position-vertical-relative:page;z-index:-251632640;mso-width-relative:page;mso-height-relative:page;" fillcolor="#000000" filled="t" stroked="f" coordsize="6096,6096" o:gfxdata="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T2vj3QAAAA0BAAAPAAAAAAAAAAEAIAAAACIAAABkcnMv&#10;ZG93bnJldi54bWxQSwECFAAUAAAACACHTuJA2xKL2T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5888" behindDoc="1" locked="0" layoutInCell="1" allowOverlap="1">
                <wp:simplePos x="0" y="0"/>
                <wp:positionH relativeFrom="page">
                  <wp:posOffset>4654550</wp:posOffset>
                </wp:positionH>
                <wp:positionV relativeFrom="page">
                  <wp:posOffset>9756140</wp:posOffset>
                </wp:positionV>
                <wp:extent cx="6350" cy="6350"/>
                <wp:effectExtent l="0" t="0" r="0" b="0"/>
                <wp:wrapNone/>
                <wp:docPr id="355" name="Freeform 35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5" o:spid="_x0000_s1026" o:spt="100" style="position:absolute;left:0pt;margin-left:366.5pt;margin-top:768.2pt;height:0.5pt;width:0.5pt;mso-position-horizontal-relative:page;mso-position-vertical-relative:page;z-index:-251630592;mso-width-relative:page;mso-height-relative:page;" fillcolor="#000000" filled="t" stroked="f" coordsize="6096,6096" o:gfxdata="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Zhs3QAAAA0BAAAPAAAAAAAAAAEAIAAAACIAAABkcnMv&#10;ZG93bnJldi54bWxQSwECFAAUAAAACACHTuJAb+Pv9D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7936" behindDoc="0" locked="0" layoutInCell="1" allowOverlap="1">
                <wp:simplePos x="0" y="0"/>
                <wp:positionH relativeFrom="page">
                  <wp:posOffset>6412230</wp:posOffset>
                </wp:positionH>
                <wp:positionV relativeFrom="page">
                  <wp:posOffset>9756140</wp:posOffset>
                </wp:positionV>
                <wp:extent cx="6350" cy="6350"/>
                <wp:effectExtent l="0" t="0" r="0" b="0"/>
                <wp:wrapNone/>
                <wp:docPr id="356" name="Freeform 3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6" o:spid="_x0000_s1026" o:spt="100" style="position:absolute;left:0pt;margin-left:504.9pt;margin-top:768.2pt;height:0.5pt;width:0.5pt;mso-position-horizontal-relative:page;mso-position-vertical-relative:page;z-index:251687936;mso-width-relative:page;mso-height-relative:page;" fillcolor="#000000" filled="t" stroked="f" coordsize="6096,6096" o:gfxdata="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iduFDdAAAADwEAAA8AAAAAAAAAAQAgAAAAIgAAAGRycy9k&#10;b3ducmV2LnhtbFBLAQIUABQAAAAIAIdO4kCz8UKDNgIAABAFAAAOAAAAAAAAAAEAIAAAACw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86912" behindDoc="0" locked="0" layoutInCell="1" allowOverlap="1">
                <wp:simplePos x="0" y="0"/>
                <wp:positionH relativeFrom="page">
                  <wp:posOffset>6412230</wp:posOffset>
                </wp:positionH>
                <wp:positionV relativeFrom="page">
                  <wp:posOffset>9756140</wp:posOffset>
                </wp:positionV>
                <wp:extent cx="6350" cy="6350"/>
                <wp:effectExtent l="0" t="0" r="0" b="0"/>
                <wp:wrapNone/>
                <wp:docPr id="357" name="Freeform 3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7" o:spid="_x0000_s1026" o:spt="100" style="position:absolute;left:0pt;margin-left:504.9pt;margin-top:768.2pt;height:0.5pt;width:0.5pt;mso-position-horizontal-relative:page;mso-position-vertical-relative:page;z-index:251686912;mso-width-relative:page;mso-height-relative:page;" fillcolor="#000000" filled="t" stroked="f" coordsize="6096,6096" o:gfxdata="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nbhQ3QAAAA8BAAAPAAAAAAAAAAEAIAAAACIAAABkcnMv&#10;ZG93bnJldi54bWxQSwECFAAUAAAACACHTuJABwAmrjcCAAAQBQAADgAAAAAAAAABACAAAAAs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1312" behindDoc="1" locked="0" layoutInCell="1" allowOverlap="1">
                <wp:simplePos x="0" y="0"/>
                <wp:positionH relativeFrom="page">
                  <wp:posOffset>1143000</wp:posOffset>
                </wp:positionH>
                <wp:positionV relativeFrom="paragraph">
                  <wp:posOffset>0</wp:posOffset>
                </wp:positionV>
                <wp:extent cx="6350" cy="6350"/>
                <wp:effectExtent l="0" t="0" r="0" b="0"/>
                <wp:wrapNone/>
                <wp:docPr id="358" name="Freeform 3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8" o:spid="_x0000_s1026" o:spt="100" style="position:absolute;left:0pt;margin-left:90pt;margin-top:0pt;height:0.5pt;width:0.5pt;mso-position-horizontal-relative:page;z-index:-251655168;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sLem1QAAAAYBAAAPAAAAAAAAAAEAIAAAACIAAABkcnMvZG93bnJldi54&#10;bWxQSwECFAAUAAAACACHTuJA6l9O3DYCAAAQBQAADgAAAAAAAAABACAAAAAkAQAAZHJzL2Uyb0Rv&#10;Yy54bWxQSwUGAAAAAAYABgBZAQAAzA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2336" behindDoc="1" locked="0" layoutInCell="1" allowOverlap="1">
                <wp:simplePos x="0" y="0"/>
                <wp:positionH relativeFrom="page">
                  <wp:posOffset>1149350</wp:posOffset>
                </wp:positionH>
                <wp:positionV relativeFrom="paragraph">
                  <wp:posOffset>5715</wp:posOffset>
                </wp:positionV>
                <wp:extent cx="801370" cy="67310"/>
                <wp:effectExtent l="0" t="0" r="17780" b="8890"/>
                <wp:wrapNone/>
                <wp:docPr id="359" name="Freeform 359"/>
                <wp:cNvGraphicFramePr/>
                <a:graphic xmlns:a="http://schemas.openxmlformats.org/drawingml/2006/main">
                  <a:graphicData uri="http://schemas.microsoft.com/office/word/2010/wordprocessingShape">
                    <wps:wsp>
                      <wps:cNvSpPr/>
                      <wps:spPr>
                        <a:xfrm>
                          <a:off x="0" y="0"/>
                          <a:ext cx="801624" cy="67056"/>
                        </a:xfrm>
                        <a:custGeom>
                          <a:avLst/>
                          <a:gdLst/>
                          <a:ahLst/>
                          <a:cxnLst/>
                          <a:rect l="l" t="t" r="r" b="b"/>
                          <a:pathLst>
                            <a:path w="801624" h="67056">
                              <a:moveTo>
                                <a:pt x="0" y="67056"/>
                              </a:moveTo>
                              <a:lnTo>
                                <a:pt x="801624" y="67056"/>
                              </a:lnTo>
                              <a:lnTo>
                                <a:pt x="801624" y="0"/>
                              </a:lnTo>
                              <a:lnTo>
                                <a:pt x="0" y="0"/>
                              </a:lnTo>
                              <a:lnTo>
                                <a:pt x="0" y="67056"/>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59" o:spid="_x0000_s1026" o:spt="100" style="position:absolute;left:0pt;margin-left:90.5pt;margin-top:0.45pt;height:5.3pt;width:63.1pt;mso-position-horizontal-relative:page;z-index:-251654144;mso-width-relative:page;mso-height-relative:page;" fillcolor="#FFFFFF" filled="t" stroked="f" coordsize="801624,67056" o:gfxdata="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rfm5XVAAAABwEAAA8AAAAAAAAAAQAgAAAAIgAAAGRycy9k&#10;b3ducmV2LnhtbFBLAQIUABQAAAAIAIdO4kDRwflgPgIAAB0FAAAOAAAAAAAAAAEAIAAAACQBAABk&#10;cnMvZTJvRG9jLnhtbFBLBQYAAAAABgAGAFkBAADUBQAAAAA=&#10;" path="m0,67056l801624,67056,801624,0,0,0,0,6705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3360" behindDoc="1" locked="0" layoutInCell="1" allowOverlap="1">
                <wp:simplePos x="0" y="0"/>
                <wp:positionH relativeFrom="page">
                  <wp:posOffset>1950720</wp:posOffset>
                </wp:positionH>
                <wp:positionV relativeFrom="paragraph">
                  <wp:posOffset>0</wp:posOffset>
                </wp:positionV>
                <wp:extent cx="6350" cy="6350"/>
                <wp:effectExtent l="0" t="0" r="0" b="0"/>
                <wp:wrapNone/>
                <wp:docPr id="361" name="Freeform 36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1" o:spid="_x0000_s1026" o:spt="100" style="position:absolute;left:0pt;margin-left:153.6pt;margin-top:0pt;height:0.5pt;width:0.5pt;mso-position-horizontal-relative:page;z-index:-251653120;mso-width-relative:page;mso-height-relative:page;" fillcolor="#000000" filled="t" stroked="f" coordsize="6096,6096" o:gfxdata="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BQfD9YAAAAGAQAADwAAAAAAAAABACAAAAAiAAAAZHJzL2Rvd25yZXYu&#10;eG1sUEsBAhQAFAAAAAgAh07iQFIWbs42AgAAEAUAAA4AAAAAAAAAAQAgAAAAJQEAAGRycy9lMm9E&#10;b2MueG1sUEsFBgAAAAAGAAYAWQEAAM0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4384" behindDoc="1" locked="0" layoutInCell="1" allowOverlap="1">
                <wp:simplePos x="0" y="0"/>
                <wp:positionH relativeFrom="page">
                  <wp:posOffset>4654550</wp:posOffset>
                </wp:positionH>
                <wp:positionV relativeFrom="paragraph">
                  <wp:posOffset>0</wp:posOffset>
                </wp:positionV>
                <wp:extent cx="6350" cy="6350"/>
                <wp:effectExtent l="0" t="0" r="0" b="0"/>
                <wp:wrapNone/>
                <wp:docPr id="364" name="Freeform 3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4" o:spid="_x0000_s1026" o:spt="100" style="position:absolute;left:0pt;margin-left:366.5pt;margin-top:0pt;height:0.5pt;width:0.5pt;mso-position-horizontal-relative:page;z-index:-251652096;mso-width-relative:page;mso-height-relative:page;" fillcolor="#000000" filled="t" stroked="f" coordsize="6096,6096" o:gfxdata="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0OZb9gAAAAGAQAADwAAAAAAAAABACAAAAAiAAAAZHJzL2Rvd25y&#10;ZXYueG1sUEsBAhQAFAAAAAgAh07iQDYhmVY3AgAAEAUAAA4AAAAAAAAAAQAgAAAAJwEAAGRycy9l&#10;Mm9Eb2MueG1sUEsFBgAAAAAGAAYAWQEAANA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mc:AlternateContent>
          <mc:Choice Requires="wps">
            <w:drawing>
              <wp:anchor distT="0" distB="0" distL="114300" distR="114300" simplePos="0" relativeHeight="251665408" behindDoc="1" locked="0" layoutInCell="1" allowOverlap="1">
                <wp:simplePos x="0" y="0"/>
                <wp:positionH relativeFrom="page">
                  <wp:posOffset>6412230</wp:posOffset>
                </wp:positionH>
                <wp:positionV relativeFrom="paragraph">
                  <wp:posOffset>0</wp:posOffset>
                </wp:positionV>
                <wp:extent cx="6350" cy="6350"/>
                <wp:effectExtent l="0" t="0" r="0" b="0"/>
                <wp:wrapNone/>
                <wp:docPr id="367" name="Freeform 3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367" o:spid="_x0000_s1026" o:spt="100" style="position:absolute;left:0pt;margin-left:504.9pt;margin-top:0pt;height:0.5pt;width:0.5pt;mso-position-horizontal-relative:page;z-index:-251651072;mso-width-relative:page;mso-height-relative:page;" fillcolor="#000000" filled="t" stroked="f" coordsize="6096,6096" o:gfxdata="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Tivr1QAAAAgBAAAPAAAAAAAAAAEAIAAAACIAAABkcnMvZG93bnJldi54&#10;bWxQSwECFAAUAAAACACHTuJA6jM0ITYCAAAQBQAADgAAAAAAAAABACAAAAAkAQAAZHJzL2Uyb0Rv&#10;Yy54bWxQSwUGAAAAAAYABgBZAQAAzA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b/>
          <w:bCs/>
          <w:lang w:val="en-US" w:eastAsia="zh-CN"/>
        </w:rPr>
        <w:t>2.下单模式</w:t>
      </w:r>
    </w:p>
    <w:p w14:paraId="5F3B32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下单模式有“按组合数量下单”、“按总金额及权重下单”、“按账户可用资金比例下单”。</w:t>
      </w:r>
    </w:p>
    <w:p w14:paraId="4C9F2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（1）按组合数量下单</w:t>
      </w:r>
    </w:p>
    <w:p w14:paraId="0EA70F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下单时如果交易总量选择“按组合数量下单”，交易总量下方的“组合份数”必填，以组合 为单位，成分股委托数量系统会自动计算，计算公式=样本数量*组合份数。操作如图所示： </w:t>
      </w:r>
    </w:p>
    <w:p w14:paraId="171872B7">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2438400" cy="3867150"/>
            <wp:effectExtent l="0" t="0" r="0" b="0"/>
            <wp:docPr id="18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6"/>
                    <pic:cNvPicPr>
                      <a:picLocks noChangeAspect="1"/>
                    </pic:cNvPicPr>
                  </pic:nvPicPr>
                  <pic:blipFill>
                    <a:blip r:embed="rId70"/>
                    <a:stretch>
                      <a:fillRect/>
                    </a:stretch>
                  </pic:blipFill>
                  <pic:spPr>
                    <a:xfrm>
                      <a:off x="0" y="0"/>
                      <a:ext cx="2438400" cy="3867150"/>
                    </a:xfrm>
                    <a:prstGeom prst="rect">
                      <a:avLst/>
                    </a:prstGeom>
                    <a:noFill/>
                    <a:ln>
                      <a:noFill/>
                    </a:ln>
                  </pic:spPr>
                </pic:pic>
              </a:graphicData>
            </a:graphic>
          </wp:inline>
        </w:drawing>
      </w:r>
    </w:p>
    <w:p w14:paraId="13F62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（2）按总金额及权重下单  </w:t>
      </w:r>
    </w:p>
    <w:p w14:paraId="25EC87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下单时如果交易总量选择“按总金额及权重下单”，交易总量下方的“委托金额”以及组合 中成分股的“相对权重”必填，成分股委托数量系统会自动计算，买入委托数量计算公式= 总金额*绝对权重/买入价格，卖出委托数量计算公式=总金额*绝对权重/卖出价格。</w:t>
      </w:r>
    </w:p>
    <w:p w14:paraId="47A4C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（3）账户可用资金比例下单  </w:t>
      </w:r>
    </w:p>
    <w:p w14:paraId="447EF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下单时如果交易总量选择“按账户可用资金比例下单”，交易总量下方的“所占比例”以及 组合中成分股的“相对权重”为必填，成分股委托数量系统会自动计算，</w:t>
      </w:r>
    </w:p>
    <w:p w14:paraId="1211B8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买入计算公式=账户可用资金*可用资金比例*绝对权重/买入价格，</w:t>
      </w:r>
    </w:p>
    <w:p w14:paraId="7E937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卖出计算公式=账户可用资金*可用资金比 例*绝对权重/卖出价格。</w:t>
      </w:r>
    </w:p>
    <w:p w14:paraId="79766A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3.下单按钮</w:t>
      </w:r>
    </w:p>
    <w:p w14:paraId="0F180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下单按钮会根据成分股是否指定委托方向以及资产账号类型做区分。</w:t>
      </w:r>
    </w:p>
    <w:p w14:paraId="31DE5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（1）一键下单</w:t>
      </w:r>
    </w:p>
    <w:p w14:paraId="647A25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当成分股已指定委托方向，则下单按钮显示【一键下单】。</w:t>
      </w:r>
    </w:p>
    <w:p w14:paraId="260746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（2）【买入组合】和【卖出组合】  </w:t>
      </w:r>
    </w:p>
    <w:p w14:paraId="4BFED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当成分股未指定委托方向且资产账号为普通A股账号，则下单按钮显示【买入组合】和【卖 出组合】。</w:t>
      </w:r>
    </w:p>
    <w:p w14:paraId="6B5597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4.订单数据监控</w:t>
      </w:r>
    </w:p>
    <w:p w14:paraId="698ECF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（1）组合订单监控</w:t>
      </w:r>
    </w:p>
    <w:p w14:paraId="10F6C0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组合下单后，支持用户在组合订单监控中查看全部订单的委托及成交进度，对未完成的组合 做撤单、补单和一键撤补的操作</w:t>
      </w:r>
    </w:p>
    <w:p w14:paraId="67D05A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撤单</w:t>
      </w:r>
      <w:r>
        <w:rPr>
          <w:rFonts w:hint="eastAsia" w:ascii="宋体" w:hAnsi="宋体" w:eastAsia="宋体" w:cs="宋体"/>
          <w:lang w:val="en-US" w:eastAsia="zh-CN"/>
        </w:rPr>
        <w:t>：组合下单后，可对未成交的订单做撤单操作。对于组合算法单，撤单后原算法实例停止。</w:t>
      </w:r>
    </w:p>
    <w:p w14:paraId="7A7A09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补单</w:t>
      </w:r>
      <w:r>
        <w:rPr>
          <w:rFonts w:hint="eastAsia" w:ascii="宋体" w:hAnsi="宋体" w:eastAsia="宋体" w:cs="宋体"/>
          <w:lang w:val="en-US" w:eastAsia="zh-CN"/>
        </w:rPr>
        <w:t>：组合撤单后，可对撤单和废单部分的订单做补单操作。补单时可调整报价方式及价格类型、 委托方向和零股处理的参数选项。对于组合算法单，补单后会创建新的算法实例。</w:t>
      </w:r>
    </w:p>
    <w:p w14:paraId="1C739A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一键撤补</w:t>
      </w:r>
      <w:r>
        <w:rPr>
          <w:rFonts w:hint="eastAsia" w:ascii="宋体" w:hAnsi="宋体" w:eastAsia="宋体" w:cs="宋体"/>
          <w:lang w:val="en-US" w:eastAsia="zh-CN"/>
        </w:rPr>
        <w:t>：组合下单后，可对未完成的组合做“先撤后补”的一键撤补操作。一键撤补时可调整报价方 式及价格类型、委托方向和零股处理的参数选项。</w:t>
      </w:r>
    </w:p>
    <w:p w14:paraId="475994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（2）委托明细</w:t>
      </w:r>
    </w:p>
    <w:p w14:paraId="468C45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展示当日所有组合的委托明细，可通过账号、组合订单号、代码等条件筛选委托订单，也可 通过可撤、废单、全部等委托状态筛选委托订单。支持选择单笔或多笔订单进行撤单。</w:t>
      </w:r>
    </w:p>
    <w:p w14:paraId="41D0BEAB">
      <w:pPr>
        <w:numPr>
          <w:ilvl w:val="0"/>
          <w:numId w:val="0"/>
        </w:numPr>
        <w:ind w:leftChars="0"/>
        <w:jc w:val="left"/>
        <w:rPr>
          <w:rFonts w:hint="eastAsia" w:ascii="宋体" w:hAnsi="宋体" w:eastAsia="宋体" w:cs="宋体"/>
          <w:lang w:val="en-US" w:eastAsia="zh-CN"/>
        </w:rPr>
      </w:pPr>
      <w:r>
        <w:rPr>
          <w:rFonts w:hint="eastAsia" w:ascii="宋体" w:hAnsi="宋体" w:eastAsia="宋体" w:cs="宋体"/>
        </w:rPr>
        <w:drawing>
          <wp:inline distT="0" distB="0" distL="114300" distR="114300">
            <wp:extent cx="5258435" cy="944880"/>
            <wp:effectExtent l="0" t="0" r="18415" b="7620"/>
            <wp:docPr id="18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7"/>
                    <pic:cNvPicPr>
                      <a:picLocks noChangeAspect="1"/>
                    </pic:cNvPicPr>
                  </pic:nvPicPr>
                  <pic:blipFill>
                    <a:blip r:embed="rId71"/>
                    <a:stretch>
                      <a:fillRect/>
                    </a:stretch>
                  </pic:blipFill>
                  <pic:spPr>
                    <a:xfrm>
                      <a:off x="0" y="0"/>
                      <a:ext cx="5258435" cy="944880"/>
                    </a:xfrm>
                    <a:prstGeom prst="rect">
                      <a:avLst/>
                    </a:prstGeom>
                    <a:noFill/>
                    <a:ln>
                      <a:noFill/>
                    </a:ln>
                  </pic:spPr>
                </pic:pic>
              </a:graphicData>
            </a:graphic>
          </wp:inline>
        </w:drawing>
      </w:r>
    </w:p>
    <w:p w14:paraId="7A0692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（3）成交明细</w:t>
      </w:r>
    </w:p>
    <w:p w14:paraId="71BE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展示当日所有组合的成交明细，可通过账号、组合订单号、代码等条件筛选成交订单，并提供按代码汇总和明细两种方式查看成交订单，默认展示明细数据。</w:t>
      </w:r>
    </w:p>
    <w:p w14:paraId="70FDC81C">
      <w:pPr>
        <w:numPr>
          <w:ilvl w:val="0"/>
          <w:numId w:val="0"/>
        </w:numPr>
        <w:ind w:leftChars="0"/>
        <w:jc w:val="left"/>
        <w:rPr>
          <w:rFonts w:hint="eastAsia" w:ascii="宋体" w:hAnsi="宋体" w:eastAsia="宋体" w:cs="宋体"/>
          <w:color w:val="000000"/>
          <w:sz w:val="21"/>
          <w:szCs w:val="21"/>
          <w:lang w:eastAsia="zh-CN"/>
        </w:rPr>
      </w:pPr>
      <w:r>
        <w:rPr>
          <w:rFonts w:hint="eastAsia" w:ascii="宋体" w:hAnsi="宋体" w:eastAsia="宋体" w:cs="宋体"/>
        </w:rPr>
        <w:drawing>
          <wp:inline distT="0" distB="0" distL="114300" distR="114300">
            <wp:extent cx="5267325" cy="987425"/>
            <wp:effectExtent l="0" t="0" r="9525" b="3175"/>
            <wp:docPr id="1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8"/>
                    <pic:cNvPicPr>
                      <a:picLocks noChangeAspect="1"/>
                    </pic:cNvPicPr>
                  </pic:nvPicPr>
                  <pic:blipFill>
                    <a:blip r:embed="rId72"/>
                    <a:stretch>
                      <a:fillRect/>
                    </a:stretch>
                  </pic:blipFill>
                  <pic:spPr>
                    <a:xfrm>
                      <a:off x="0" y="0"/>
                      <a:ext cx="5267325" cy="987425"/>
                    </a:xfrm>
                    <a:prstGeom prst="rect">
                      <a:avLst/>
                    </a:prstGeom>
                    <a:noFill/>
                    <a:ln>
                      <a:noFill/>
                    </a:ln>
                  </pic:spPr>
                </pic:pic>
              </a:graphicData>
            </a:graphic>
          </wp:inline>
        </w:drawing>
      </w:r>
    </w:p>
    <w:p w14:paraId="2F9E84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（4）持仓明细</w:t>
      </w:r>
    </w:p>
    <w:p w14:paraId="1C0601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展示当前用户全部账号下的持仓数据，可通过按账号、代码等条件筛选持仓，并提供汇总和明细两种方式查看持仓数据，默认展示明细数据。</w:t>
      </w:r>
    </w:p>
    <w:p w14:paraId="43678E59">
      <w:pPr>
        <w:numPr>
          <w:ilvl w:val="0"/>
          <w:numId w:val="0"/>
        </w:numPr>
        <w:ind w:leftChars="0"/>
        <w:jc w:val="left"/>
        <w:rPr>
          <w:rFonts w:hint="eastAsia" w:ascii="宋体" w:hAnsi="宋体" w:eastAsia="宋体" w:cs="宋体"/>
        </w:rPr>
      </w:pPr>
      <w:r>
        <w:rPr>
          <w:rFonts w:hint="eastAsia" w:ascii="宋体" w:hAnsi="宋体" w:eastAsia="宋体" w:cs="宋体"/>
        </w:rPr>
        <w:drawing>
          <wp:inline distT="0" distB="0" distL="114300" distR="114300">
            <wp:extent cx="5271770" cy="1096645"/>
            <wp:effectExtent l="0" t="0" r="5080" b="8255"/>
            <wp:docPr id="19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9"/>
                    <pic:cNvPicPr>
                      <a:picLocks noChangeAspect="1"/>
                    </pic:cNvPicPr>
                  </pic:nvPicPr>
                  <pic:blipFill>
                    <a:blip r:embed="rId73"/>
                    <a:stretch>
                      <a:fillRect/>
                    </a:stretch>
                  </pic:blipFill>
                  <pic:spPr>
                    <a:xfrm>
                      <a:off x="0" y="0"/>
                      <a:ext cx="5271770" cy="1096645"/>
                    </a:xfrm>
                    <a:prstGeom prst="rect">
                      <a:avLst/>
                    </a:prstGeom>
                    <a:noFill/>
                    <a:ln>
                      <a:noFill/>
                    </a:ln>
                  </pic:spPr>
                </pic:pic>
              </a:graphicData>
            </a:graphic>
          </wp:inline>
        </w:drawing>
      </w:r>
    </w:p>
    <w:p w14:paraId="3603C39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3" w:name="_Toc15291"/>
      <w:r>
        <w:rPr>
          <w:rFonts w:hint="eastAsia" w:ascii="宋体" w:hAnsi="宋体" w:eastAsia="宋体" w:cs="宋体"/>
          <w:sz w:val="28"/>
          <w:szCs w:val="28"/>
          <w:lang w:val="en-US" w:eastAsia="zh-CN"/>
        </w:rPr>
        <w:t>算法交易</w:t>
      </w:r>
      <w:bookmarkEnd w:id="23"/>
    </w:p>
    <w:p w14:paraId="4E238F9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4" w:name="_Toc1867"/>
      <w:r>
        <w:rPr>
          <w:rFonts w:hint="eastAsia" w:ascii="宋体" w:hAnsi="宋体" w:eastAsia="宋体" w:cs="宋体"/>
          <w:sz w:val="28"/>
          <w:szCs w:val="28"/>
          <w:lang w:val="en-US" w:eastAsia="zh-CN"/>
        </w:rPr>
        <w:t>算法交易</w:t>
      </w:r>
      <w:bookmarkEnd w:id="24"/>
    </w:p>
    <w:p w14:paraId="67DD26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算法交易是国内外非常普遍的一种智能化交易，用户将交易目标输入算法模型后，算法模型可根据参数与限制条件，结合复杂的数学建模、统计分析和市场数据，捕捉市场交易机会，将大额订单拆为若干小单，降低冲击成本，隐藏交易意图，提高交易效率。</w:t>
      </w:r>
    </w:p>
    <w:p w14:paraId="7051E6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MATIC系统通过引入市场认可的优秀算法，结合自身数据分析能力、专业模型能力和交易规划能力，为投资者提供更丰富的选择和更灵活的算法服务，帮助投资者更高效地跟踪市场变化，合理执行交易，降低交易成本，管理交易风险。</w:t>
      </w:r>
    </w:p>
    <w:p w14:paraId="662DD7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MATIC算法交易功能默认不对客户开放，客户需申请开通后才可使用该功能。本期引入的算法策略包含G-TWAP策略和G-VWAP策略，支持国内六大交易所（中金所、大商所、郑商所、上期所、上能源、广期所）的所有期货品种。G-TWAP策略和G-VWAP策略策略功能及适用标的如下：</w:t>
      </w:r>
    </w:p>
    <w:tbl>
      <w:tblPr>
        <w:tblStyle w:val="21"/>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786"/>
        <w:gridCol w:w="3698"/>
      </w:tblGrid>
      <w:tr w14:paraId="5574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shd w:val="clear" w:color="auto" w:fill="BEBEBE" w:themeFill="background1" w:themeFillShade="BF"/>
            <w:vAlign w:val="center"/>
          </w:tcPr>
          <w:p w14:paraId="23F0C49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ertAlign w:val="baseline"/>
                <w:lang w:val="en-US" w:eastAsia="zh-CN"/>
              </w:rPr>
            </w:pPr>
            <w:r>
              <w:rPr>
                <w:rFonts w:hint="eastAsia" w:ascii="宋体" w:hAnsi="宋体" w:eastAsia="宋体" w:cs="宋体"/>
                <w:b/>
                <w:bCs/>
                <w:vertAlign w:val="baseline"/>
                <w:lang w:val="en-US" w:eastAsia="zh-CN"/>
              </w:rPr>
              <w:t>策略</w:t>
            </w:r>
          </w:p>
        </w:tc>
        <w:tc>
          <w:tcPr>
            <w:tcW w:w="3786" w:type="dxa"/>
            <w:shd w:val="clear" w:color="auto" w:fill="BEBEBE" w:themeFill="background1" w:themeFillShade="BF"/>
            <w:vAlign w:val="center"/>
          </w:tcPr>
          <w:p w14:paraId="09CACE6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w:t>
            </w:r>
          </w:p>
        </w:tc>
        <w:tc>
          <w:tcPr>
            <w:tcW w:w="3698" w:type="dxa"/>
            <w:shd w:val="clear" w:color="auto" w:fill="BEBEBE" w:themeFill="background1" w:themeFillShade="BF"/>
            <w:vAlign w:val="center"/>
          </w:tcPr>
          <w:p w14:paraId="56BE2EA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ertAlign w:val="baseline"/>
                <w:lang w:val="en-US" w:eastAsia="zh-CN"/>
              </w:rPr>
            </w:pPr>
            <w:r>
              <w:rPr>
                <w:rFonts w:hint="eastAsia" w:ascii="宋体" w:hAnsi="宋体" w:eastAsia="宋体" w:cs="宋体"/>
                <w:b/>
                <w:bCs/>
                <w:vertAlign w:val="baseline"/>
                <w:lang w:val="en-US" w:eastAsia="zh-CN"/>
              </w:rPr>
              <w:t>适用标的</w:t>
            </w:r>
          </w:p>
        </w:tc>
      </w:tr>
      <w:tr w14:paraId="4CDF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257DC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vertAlign w:val="baseline"/>
                <w:lang w:val="en-US" w:eastAsia="zh-CN"/>
              </w:rPr>
            </w:pPr>
            <w:r>
              <w:rPr>
                <w:rFonts w:hint="eastAsia" w:ascii="宋体" w:hAnsi="宋体" w:eastAsia="宋体" w:cs="宋体"/>
                <w:lang w:val="en-US" w:eastAsia="zh-CN"/>
              </w:rPr>
              <w:t>G-TWAP</w:t>
            </w:r>
          </w:p>
        </w:tc>
        <w:tc>
          <w:tcPr>
            <w:tcW w:w="3786" w:type="dxa"/>
            <w:vAlign w:val="center"/>
          </w:tcPr>
          <w:p w14:paraId="535A0F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vertAlign w:val="baseline"/>
                <w:lang w:val="en-US" w:eastAsia="zh-CN"/>
              </w:rPr>
            </w:pPr>
            <w:r>
              <w:rPr>
                <w:rFonts w:hint="eastAsia"/>
              </w:rPr>
              <w:t>在指定的时间间隔内，按照时间平均</w:t>
            </w:r>
            <w:bookmarkStart w:id="84" w:name="_GoBack"/>
            <w:bookmarkEnd w:id="84"/>
            <w:r>
              <w:rPr>
                <w:rFonts w:hint="eastAsia"/>
              </w:rPr>
              <w:t>下单的算法</w:t>
            </w:r>
            <w:r>
              <w:rPr>
                <w:rFonts w:hint="eastAsia"/>
                <w:lang w:eastAsia="zh-CN"/>
              </w:rPr>
              <w:t>，</w:t>
            </w:r>
            <w:r>
              <w:rPr>
                <w:rFonts w:hint="eastAsia"/>
              </w:rPr>
              <w:t>旨在对市场影响最小化的同时</w:t>
            </w:r>
            <w:r>
              <w:rPr>
                <w:rFonts w:hint="eastAsia"/>
                <w:lang w:val="en-US" w:eastAsia="zh-CN"/>
              </w:rPr>
              <w:t>按照</w:t>
            </w:r>
            <w:r>
              <w:rPr>
                <w:rFonts w:hint="eastAsia"/>
              </w:rPr>
              <w:t>平均价格</w:t>
            </w:r>
            <w:r>
              <w:rPr>
                <w:rFonts w:hint="eastAsia"/>
                <w:lang w:val="en-US" w:eastAsia="zh-CN"/>
              </w:rPr>
              <w:t>进行交易</w:t>
            </w:r>
            <w:r>
              <w:rPr>
                <w:rFonts w:hint="eastAsia"/>
              </w:rPr>
              <w:t>。</w:t>
            </w:r>
          </w:p>
        </w:tc>
        <w:tc>
          <w:tcPr>
            <w:tcW w:w="3698" w:type="dxa"/>
            <w:vAlign w:val="center"/>
          </w:tcPr>
          <w:p w14:paraId="4C26A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vertAlign w:val="baseline"/>
                <w:lang w:val="en-US" w:eastAsia="zh-CN"/>
              </w:rPr>
            </w:pPr>
            <w:r>
              <w:rPr>
                <w:rFonts w:hint="eastAsia"/>
              </w:rPr>
              <w:t>希望成交均价接近该时间段内的市场均价（按时间加权）</w:t>
            </w:r>
            <w:r>
              <w:rPr>
                <w:rFonts w:hint="eastAsia"/>
                <w:lang w:eastAsia="zh-CN"/>
              </w:rPr>
              <w:t>，</w:t>
            </w:r>
            <w:r>
              <w:rPr>
                <w:rFonts w:hint="eastAsia"/>
                <w:lang w:val="en-US" w:eastAsia="zh-CN"/>
              </w:rPr>
              <w:t>适合于</w:t>
            </w:r>
            <w:r>
              <w:rPr>
                <w:rFonts w:hint="eastAsia"/>
              </w:rPr>
              <w:t>想用</w:t>
            </w:r>
            <w:r>
              <w:rPr>
                <w:rFonts w:hint="eastAsia" w:asciiTheme="minorEastAsia" w:hAnsiTheme="minorEastAsia" w:eastAsiaTheme="minorEastAsia" w:cstheme="minorEastAsia"/>
              </w:rPr>
              <w:t>VWAP</w:t>
            </w:r>
            <w:r>
              <w:rPr>
                <w:rFonts w:hint="eastAsia"/>
              </w:rPr>
              <w:t>执行，但近期市场波动较大或成交量分布无特定规律</w:t>
            </w:r>
            <w:r>
              <w:rPr>
                <w:rFonts w:hint="eastAsia"/>
                <w:lang w:val="en-US" w:eastAsia="zh-CN"/>
              </w:rPr>
              <w:t>的标的</w:t>
            </w:r>
            <w:r>
              <w:rPr>
                <w:rFonts w:hint="eastAsia"/>
                <w:lang w:eastAsia="zh-CN"/>
              </w:rPr>
              <w:t>。</w:t>
            </w:r>
          </w:p>
        </w:tc>
      </w:tr>
      <w:tr w14:paraId="4C1F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14:paraId="38B47AB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vertAlign w:val="baseline"/>
                <w:lang w:val="en-US" w:eastAsia="zh-CN"/>
              </w:rPr>
            </w:pPr>
            <w:r>
              <w:rPr>
                <w:rFonts w:hint="eastAsia" w:ascii="宋体" w:hAnsi="宋体" w:eastAsia="宋体" w:cs="宋体"/>
                <w:lang w:val="en-US" w:eastAsia="zh-CN"/>
              </w:rPr>
              <w:t>G-VWAP</w:t>
            </w:r>
          </w:p>
        </w:tc>
        <w:tc>
          <w:tcPr>
            <w:tcW w:w="3786" w:type="dxa"/>
            <w:vAlign w:val="center"/>
          </w:tcPr>
          <w:p w14:paraId="7380A66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宋体" w:hAnsi="宋体" w:eastAsia="宋体" w:cs="宋体"/>
                <w:vertAlign w:val="baseline"/>
                <w:lang w:val="en-US" w:eastAsia="zh-CN"/>
              </w:rPr>
            </w:pPr>
            <w:r>
              <w:rPr>
                <w:rFonts w:hint="eastAsia"/>
              </w:rPr>
              <w:t>在指定的时间间隔内，结合历史交易量分布及当天实时交易量情况进行下单的算法</w:t>
            </w:r>
            <w:r>
              <w:rPr>
                <w:rFonts w:hint="eastAsia"/>
                <w:lang w:eastAsia="zh-CN"/>
              </w:rPr>
              <w:t>，</w:t>
            </w:r>
            <w:r>
              <w:rPr>
                <w:rFonts w:hint="eastAsia"/>
              </w:rPr>
              <w:t>旨在以一个尽可能接近市场按成交量加权的均价进行</w:t>
            </w:r>
            <w:r>
              <w:rPr>
                <w:rFonts w:hint="eastAsia"/>
                <w:lang w:val="en-US" w:eastAsia="zh-CN"/>
              </w:rPr>
              <w:t>交易</w:t>
            </w:r>
            <w:r>
              <w:rPr>
                <w:rFonts w:hint="eastAsia"/>
              </w:rPr>
              <w:t>，尽量降低对市场的冲击。</w:t>
            </w:r>
          </w:p>
        </w:tc>
        <w:tc>
          <w:tcPr>
            <w:tcW w:w="3698" w:type="dxa"/>
            <w:vAlign w:val="center"/>
          </w:tcPr>
          <w:p w14:paraId="23815C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宋体" w:cs="宋体"/>
                <w:vertAlign w:val="baseline"/>
                <w:lang w:val="en-US" w:eastAsia="zh-CN"/>
              </w:rPr>
            </w:pPr>
            <w:r>
              <w:rPr>
                <w:rFonts w:hint="eastAsia"/>
              </w:rPr>
              <w:t>希望成交均价接近该时间段内的市场均价（按成交量加权）</w:t>
            </w:r>
            <w:r>
              <w:rPr>
                <w:rFonts w:hint="eastAsia"/>
                <w:lang w:eastAsia="zh-CN"/>
              </w:rPr>
              <w:t>，</w:t>
            </w:r>
            <w:r>
              <w:rPr>
                <w:rFonts w:hint="eastAsia"/>
                <w:lang w:val="en-US" w:eastAsia="zh-CN"/>
              </w:rPr>
              <w:t>适合于交易比较频繁、流动性好，并且成交量分布比较规律的标的（大概率和历史成交量分布吻合度高）。</w:t>
            </w:r>
          </w:p>
        </w:tc>
      </w:tr>
    </w:tbl>
    <w:p w14:paraId="5D7918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lang w:val="en-US" w:eastAsia="zh-CN"/>
        </w:rPr>
      </w:pPr>
      <w:r>
        <w:rPr>
          <w:rFonts w:hint="eastAsia" w:ascii="宋体" w:hAnsi="宋体" w:eastAsia="宋体" w:cs="宋体"/>
          <w:lang w:val="en-US" w:eastAsia="zh-CN"/>
        </w:rPr>
        <w:t>MATIC系统</w:t>
      </w:r>
      <w:r>
        <w:rPr>
          <w:rFonts w:hint="eastAsia" w:ascii="宋体" w:hAnsi="宋体" w:eastAsia="宋体" w:cs="宋体"/>
          <w:b w:val="0"/>
          <w:bCs w:val="0"/>
          <w:lang w:val="en-US" w:eastAsia="zh-CN"/>
        </w:rPr>
        <w:t>算法管理界面包含实例列表、执行进度展示、委托明细、成交明细、算法运行日志以及期货持仓六大组件，各组件支持复制、关闭、撤销关闭、拖动等操作。</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180"/>
        <w:gridCol w:w="1700"/>
        <w:gridCol w:w="4407"/>
      </w:tblGrid>
      <w:tr w14:paraId="0D1A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shd w:val="clear" w:color="auto" w:fill="BEBEBE" w:themeFill="background1" w:themeFillShade="BF"/>
            <w:vAlign w:val="center"/>
          </w:tcPr>
          <w:p w14:paraId="1734E953">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Theme="minorEastAsia"/>
                <w:b/>
                <w:bCs/>
                <w:sz w:val="21"/>
                <w:szCs w:val="21"/>
                <w:lang w:val="en-US" w:eastAsia="zh-CN"/>
              </w:rPr>
            </w:pPr>
            <w:r>
              <w:rPr>
                <w:rFonts w:hint="eastAsia"/>
                <w:b/>
                <w:bCs/>
                <w:sz w:val="21"/>
                <w:szCs w:val="21"/>
                <w:lang w:val="en-US" w:eastAsia="zh-CN"/>
              </w:rPr>
              <w:t>功能分类</w:t>
            </w:r>
          </w:p>
        </w:tc>
        <w:tc>
          <w:tcPr>
            <w:tcW w:w="1180" w:type="dxa"/>
            <w:shd w:val="clear" w:color="auto" w:fill="BEBEBE" w:themeFill="background1" w:themeFillShade="BF"/>
            <w:vAlign w:val="center"/>
          </w:tcPr>
          <w:p w14:paraId="176F4F8E">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Theme="minorEastAsia"/>
                <w:b/>
                <w:bCs/>
                <w:sz w:val="21"/>
                <w:szCs w:val="21"/>
                <w:lang w:val="en-US" w:eastAsia="zh-CN"/>
              </w:rPr>
            </w:pPr>
            <w:r>
              <w:rPr>
                <w:rFonts w:hint="eastAsia"/>
                <w:b/>
                <w:bCs/>
                <w:sz w:val="21"/>
                <w:szCs w:val="21"/>
                <w:lang w:val="en-US" w:eastAsia="zh-CN"/>
              </w:rPr>
              <w:t>主功能</w:t>
            </w:r>
          </w:p>
        </w:tc>
        <w:tc>
          <w:tcPr>
            <w:tcW w:w="1700" w:type="dxa"/>
            <w:shd w:val="clear" w:color="auto" w:fill="BEBEBE" w:themeFill="background1" w:themeFillShade="BF"/>
            <w:vAlign w:val="center"/>
          </w:tcPr>
          <w:p w14:paraId="1BE2D7EF">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1"/>
                <w:szCs w:val="21"/>
                <w:vertAlign w:val="baseline"/>
              </w:rPr>
            </w:pPr>
            <w:r>
              <w:rPr>
                <w:rFonts w:hint="eastAsia"/>
                <w:b/>
                <w:bCs/>
                <w:sz w:val="21"/>
                <w:szCs w:val="21"/>
                <w:lang w:val="en-US" w:eastAsia="zh-CN"/>
              </w:rPr>
              <w:t>子</w:t>
            </w:r>
            <w:r>
              <w:rPr>
                <w:rFonts w:hint="eastAsia"/>
                <w:b/>
                <w:bCs/>
                <w:sz w:val="21"/>
                <w:szCs w:val="21"/>
              </w:rPr>
              <w:t>功</w:t>
            </w:r>
            <w:r>
              <w:rPr>
                <w:rFonts w:hint="eastAsia"/>
                <w:b/>
                <w:bCs/>
                <w:sz w:val="21"/>
                <w:szCs w:val="21"/>
                <w:lang w:val="en-US" w:eastAsia="zh-CN"/>
              </w:rPr>
              <w:t>能</w:t>
            </w:r>
          </w:p>
        </w:tc>
        <w:tc>
          <w:tcPr>
            <w:tcW w:w="4407" w:type="dxa"/>
            <w:shd w:val="clear" w:color="auto" w:fill="BEBEBE" w:themeFill="background1" w:themeFillShade="BF"/>
            <w:vAlign w:val="center"/>
          </w:tcPr>
          <w:p w14:paraId="641F8AA5">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sz w:val="21"/>
                <w:szCs w:val="21"/>
                <w:vertAlign w:val="baseline"/>
              </w:rPr>
            </w:pPr>
            <w:r>
              <w:rPr>
                <w:rFonts w:hint="eastAsia"/>
                <w:b/>
                <w:bCs/>
                <w:sz w:val="21"/>
                <w:szCs w:val="21"/>
              </w:rPr>
              <w:t>主要</w:t>
            </w:r>
            <w:r>
              <w:rPr>
                <w:rFonts w:hint="eastAsia"/>
                <w:b/>
                <w:bCs/>
                <w:sz w:val="21"/>
                <w:szCs w:val="21"/>
                <w:lang w:val="en-US" w:eastAsia="zh-CN"/>
              </w:rPr>
              <w:t>功能点</w:t>
            </w:r>
          </w:p>
        </w:tc>
      </w:tr>
      <w:tr w14:paraId="1307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4B2302DB">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管理类</w:t>
            </w:r>
          </w:p>
        </w:tc>
        <w:tc>
          <w:tcPr>
            <w:tcW w:w="1180" w:type="dxa"/>
            <w:vAlign w:val="center"/>
          </w:tcPr>
          <w:p w14:paraId="78687F36">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实例管理</w:t>
            </w:r>
          </w:p>
        </w:tc>
        <w:tc>
          <w:tcPr>
            <w:tcW w:w="1700" w:type="dxa"/>
            <w:vAlign w:val="center"/>
          </w:tcPr>
          <w:p w14:paraId="331138F6">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vertAlign w:val="baseline"/>
              </w:rPr>
            </w:pPr>
            <w:r>
              <w:rPr>
                <w:rFonts w:hint="eastAsia"/>
                <w:sz w:val="21"/>
                <w:szCs w:val="21"/>
                <w:lang w:val="en-US" w:eastAsia="zh-CN"/>
              </w:rPr>
              <w:t>实例</w:t>
            </w:r>
            <w:r>
              <w:rPr>
                <w:rFonts w:hint="eastAsia"/>
                <w:sz w:val="21"/>
                <w:szCs w:val="21"/>
              </w:rPr>
              <w:t>列表</w:t>
            </w:r>
          </w:p>
        </w:tc>
        <w:tc>
          <w:tcPr>
            <w:tcW w:w="4407" w:type="dxa"/>
            <w:vAlign w:val="center"/>
          </w:tcPr>
          <w:p w14:paraId="1DFB4382">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sz w:val="21"/>
                <w:szCs w:val="21"/>
                <w:vertAlign w:val="baseline"/>
                <w:lang w:val="en-US"/>
              </w:rPr>
            </w:pPr>
            <w:r>
              <w:rPr>
                <w:rFonts w:hint="eastAsia"/>
                <w:sz w:val="21"/>
                <w:szCs w:val="21"/>
                <w:lang w:val="en-US" w:eastAsia="zh-CN"/>
              </w:rPr>
              <w:t>创建/修改/复制/启动/暂停/停止/删除算法实例，</w:t>
            </w:r>
            <w:r>
              <w:rPr>
                <w:rFonts w:hint="eastAsia"/>
                <w:sz w:val="21"/>
                <w:szCs w:val="21"/>
              </w:rPr>
              <w:t>展示</w:t>
            </w:r>
            <w:r>
              <w:rPr>
                <w:rFonts w:hint="eastAsia"/>
                <w:sz w:val="21"/>
                <w:szCs w:val="21"/>
                <w:lang w:val="en-US" w:eastAsia="zh-CN"/>
              </w:rPr>
              <w:t>实例执行情况和执行状态。</w:t>
            </w:r>
          </w:p>
        </w:tc>
      </w:tr>
      <w:tr w14:paraId="420D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96" w:type="dxa"/>
            <w:shd w:val="clear" w:color="auto" w:fill="auto"/>
            <w:vAlign w:val="center"/>
          </w:tcPr>
          <w:p w14:paraId="1BC01BCF">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交易类</w:t>
            </w:r>
          </w:p>
        </w:tc>
        <w:tc>
          <w:tcPr>
            <w:tcW w:w="1180" w:type="dxa"/>
            <w:shd w:val="clear" w:color="auto" w:fill="auto"/>
            <w:vAlign w:val="center"/>
          </w:tcPr>
          <w:p w14:paraId="1DF39F55">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实例监控</w:t>
            </w:r>
          </w:p>
        </w:tc>
        <w:tc>
          <w:tcPr>
            <w:tcW w:w="1700" w:type="dxa"/>
            <w:shd w:val="clear" w:color="auto" w:fill="auto"/>
            <w:vAlign w:val="center"/>
          </w:tcPr>
          <w:p w14:paraId="2EEC3351">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执行进度展示</w:t>
            </w:r>
          </w:p>
        </w:tc>
        <w:tc>
          <w:tcPr>
            <w:tcW w:w="4407" w:type="dxa"/>
            <w:shd w:val="clear" w:color="auto" w:fill="auto"/>
            <w:vAlign w:val="center"/>
          </w:tcPr>
          <w:p w14:paraId="2292E9E5">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sz w:val="21"/>
                <w:szCs w:val="21"/>
              </w:rPr>
            </w:pPr>
            <w:r>
              <w:rPr>
                <w:rFonts w:hint="eastAsia"/>
                <w:sz w:val="21"/>
                <w:szCs w:val="21"/>
              </w:rPr>
              <w:t>展示</w:t>
            </w:r>
            <w:r>
              <w:rPr>
                <w:rFonts w:hint="eastAsia"/>
                <w:sz w:val="21"/>
                <w:szCs w:val="21"/>
                <w:lang w:val="en-US" w:eastAsia="zh-CN"/>
              </w:rPr>
              <w:t>选中实例的执行进度。</w:t>
            </w:r>
          </w:p>
        </w:tc>
      </w:tr>
      <w:tr w14:paraId="3ED7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96" w:type="dxa"/>
            <w:shd w:val="clear" w:color="auto" w:fill="auto"/>
            <w:vAlign w:val="center"/>
          </w:tcPr>
          <w:p w14:paraId="10CDBE5F">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lang w:val="en-US" w:eastAsia="zh-CN"/>
              </w:rPr>
            </w:pPr>
          </w:p>
        </w:tc>
        <w:tc>
          <w:tcPr>
            <w:tcW w:w="1180" w:type="dxa"/>
            <w:shd w:val="clear" w:color="auto" w:fill="auto"/>
            <w:vAlign w:val="center"/>
          </w:tcPr>
          <w:p w14:paraId="225B2524">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lang w:val="en-US" w:eastAsia="zh-CN"/>
              </w:rPr>
            </w:pPr>
          </w:p>
        </w:tc>
        <w:tc>
          <w:tcPr>
            <w:tcW w:w="1700" w:type="dxa"/>
            <w:shd w:val="clear" w:color="auto" w:fill="auto"/>
            <w:vAlign w:val="center"/>
          </w:tcPr>
          <w:p w14:paraId="061F6052">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lang w:val="en-US" w:eastAsia="zh-CN"/>
              </w:rPr>
              <w:t>委</w:t>
            </w:r>
            <w:r>
              <w:rPr>
                <w:rFonts w:hint="eastAsia"/>
                <w:sz w:val="21"/>
                <w:szCs w:val="21"/>
              </w:rPr>
              <w:t>托明细</w:t>
            </w:r>
          </w:p>
        </w:tc>
        <w:tc>
          <w:tcPr>
            <w:tcW w:w="4407" w:type="dxa"/>
            <w:shd w:val="clear" w:color="auto" w:fill="auto"/>
            <w:vAlign w:val="center"/>
          </w:tcPr>
          <w:p w14:paraId="3E2043CB">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rPr>
              <w:t>展示</w:t>
            </w:r>
            <w:r>
              <w:rPr>
                <w:rFonts w:hint="eastAsia"/>
                <w:sz w:val="21"/>
                <w:szCs w:val="21"/>
                <w:lang w:val="en-US" w:eastAsia="zh-CN"/>
              </w:rPr>
              <w:t>选中实例执行</w:t>
            </w:r>
            <w:r>
              <w:rPr>
                <w:rFonts w:hint="eastAsia"/>
                <w:sz w:val="21"/>
                <w:szCs w:val="21"/>
              </w:rPr>
              <w:t>的委托明细数据</w:t>
            </w:r>
            <w:r>
              <w:rPr>
                <w:rFonts w:hint="eastAsia"/>
                <w:sz w:val="21"/>
                <w:szCs w:val="21"/>
                <w:lang w:eastAsia="zh-CN"/>
              </w:rPr>
              <w:t>。</w:t>
            </w:r>
          </w:p>
        </w:tc>
      </w:tr>
      <w:tr w14:paraId="74C9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shd w:val="clear" w:color="auto" w:fill="auto"/>
            <w:vAlign w:val="center"/>
          </w:tcPr>
          <w:p w14:paraId="67C619CD">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rPr>
            </w:pPr>
          </w:p>
        </w:tc>
        <w:tc>
          <w:tcPr>
            <w:tcW w:w="1180" w:type="dxa"/>
            <w:shd w:val="clear" w:color="auto" w:fill="auto"/>
            <w:vAlign w:val="center"/>
          </w:tcPr>
          <w:p w14:paraId="7C034112">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rPr>
            </w:pPr>
          </w:p>
        </w:tc>
        <w:tc>
          <w:tcPr>
            <w:tcW w:w="1700" w:type="dxa"/>
            <w:shd w:val="clear" w:color="auto" w:fill="auto"/>
            <w:vAlign w:val="center"/>
          </w:tcPr>
          <w:p w14:paraId="30EF84C3">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rPr>
              <w:t>成交明细</w:t>
            </w:r>
          </w:p>
        </w:tc>
        <w:tc>
          <w:tcPr>
            <w:tcW w:w="4407" w:type="dxa"/>
            <w:shd w:val="clear" w:color="auto" w:fill="auto"/>
            <w:vAlign w:val="center"/>
          </w:tcPr>
          <w:p w14:paraId="05AA5F0C">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rPr>
              <w:t>展示</w:t>
            </w:r>
            <w:r>
              <w:rPr>
                <w:rFonts w:hint="eastAsia"/>
                <w:sz w:val="21"/>
                <w:szCs w:val="21"/>
                <w:lang w:val="en-US" w:eastAsia="zh-CN"/>
              </w:rPr>
              <w:t>选中实例执行</w:t>
            </w:r>
            <w:r>
              <w:rPr>
                <w:rFonts w:hint="eastAsia"/>
                <w:sz w:val="21"/>
                <w:szCs w:val="21"/>
              </w:rPr>
              <w:t>的成交明细数据</w:t>
            </w:r>
          </w:p>
        </w:tc>
      </w:tr>
      <w:tr w14:paraId="1DB8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shd w:val="clear" w:color="auto" w:fill="auto"/>
            <w:vAlign w:val="center"/>
          </w:tcPr>
          <w:p w14:paraId="52A8E8F7">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rPr>
            </w:pPr>
          </w:p>
        </w:tc>
        <w:tc>
          <w:tcPr>
            <w:tcW w:w="1180" w:type="dxa"/>
            <w:shd w:val="clear" w:color="auto" w:fill="auto"/>
            <w:vAlign w:val="center"/>
          </w:tcPr>
          <w:p w14:paraId="78E418BA">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rPr>
            </w:pPr>
          </w:p>
        </w:tc>
        <w:tc>
          <w:tcPr>
            <w:tcW w:w="1700" w:type="dxa"/>
            <w:shd w:val="clear" w:color="auto" w:fill="auto"/>
            <w:vAlign w:val="center"/>
          </w:tcPr>
          <w:p w14:paraId="112C7016">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lang w:val="en-US" w:eastAsia="zh-CN"/>
              </w:rPr>
              <w:t>算法运行日志</w:t>
            </w:r>
          </w:p>
        </w:tc>
        <w:tc>
          <w:tcPr>
            <w:tcW w:w="4407" w:type="dxa"/>
            <w:shd w:val="clear" w:color="auto" w:fill="auto"/>
            <w:vAlign w:val="center"/>
          </w:tcPr>
          <w:p w14:paraId="5434446E">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Courier New" w:eastAsiaTheme="minorEastAsia" w:cstheme="minorBidi"/>
                <w:kern w:val="2"/>
                <w:sz w:val="21"/>
                <w:szCs w:val="21"/>
                <w:vertAlign w:val="baseline"/>
                <w:lang w:val="en-US" w:eastAsia="zh-CN" w:bidi="ar-SA"/>
              </w:rPr>
            </w:pPr>
            <w:r>
              <w:rPr>
                <w:rFonts w:hint="eastAsia"/>
                <w:sz w:val="21"/>
                <w:szCs w:val="21"/>
                <w:lang w:val="en-US" w:eastAsia="zh-CN"/>
              </w:rPr>
              <w:t>展示选中实例运行的日志记录。</w:t>
            </w:r>
          </w:p>
        </w:tc>
      </w:tr>
      <w:tr w14:paraId="0F93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49C323BA">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lang w:val="en-US" w:eastAsia="zh-CN"/>
              </w:rPr>
            </w:pPr>
          </w:p>
        </w:tc>
        <w:tc>
          <w:tcPr>
            <w:tcW w:w="1180" w:type="dxa"/>
            <w:vAlign w:val="center"/>
          </w:tcPr>
          <w:p w14:paraId="1825E089">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lang w:val="en-US" w:eastAsia="zh-CN"/>
              </w:rPr>
            </w:pPr>
          </w:p>
        </w:tc>
        <w:tc>
          <w:tcPr>
            <w:tcW w:w="1700" w:type="dxa"/>
            <w:vAlign w:val="center"/>
          </w:tcPr>
          <w:p w14:paraId="3BC919C4">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Theme="minorEastAsia"/>
                <w:sz w:val="21"/>
                <w:szCs w:val="21"/>
                <w:vertAlign w:val="baseline"/>
                <w:lang w:eastAsia="zh-CN"/>
              </w:rPr>
            </w:pPr>
            <w:r>
              <w:rPr>
                <w:rFonts w:hint="eastAsia"/>
                <w:sz w:val="21"/>
                <w:szCs w:val="21"/>
                <w:lang w:val="en-US" w:eastAsia="zh-CN"/>
              </w:rPr>
              <w:t>期货</w:t>
            </w:r>
            <w:r>
              <w:rPr>
                <w:rFonts w:hint="eastAsia"/>
                <w:sz w:val="21"/>
                <w:szCs w:val="21"/>
              </w:rPr>
              <w:t>持仓</w:t>
            </w:r>
          </w:p>
        </w:tc>
        <w:tc>
          <w:tcPr>
            <w:tcW w:w="4407" w:type="dxa"/>
            <w:vAlign w:val="center"/>
          </w:tcPr>
          <w:p w14:paraId="00857148">
            <w:pPr>
              <w:pStyle w:val="13"/>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eastAsiaTheme="minorEastAsia"/>
                <w:sz w:val="21"/>
                <w:szCs w:val="21"/>
                <w:vertAlign w:val="baseline"/>
                <w:lang w:val="en-US" w:eastAsia="zh-CN"/>
              </w:rPr>
            </w:pPr>
            <w:r>
              <w:rPr>
                <w:rFonts w:hint="eastAsia"/>
                <w:sz w:val="21"/>
                <w:szCs w:val="21"/>
              </w:rPr>
              <w:t>展示</w:t>
            </w:r>
            <w:r>
              <w:rPr>
                <w:rFonts w:hint="eastAsia"/>
                <w:sz w:val="21"/>
                <w:szCs w:val="21"/>
                <w:lang w:val="en-US" w:eastAsia="zh-CN"/>
              </w:rPr>
              <w:t>期货资金账户的</w:t>
            </w:r>
            <w:r>
              <w:rPr>
                <w:rFonts w:hint="eastAsia"/>
                <w:sz w:val="21"/>
                <w:szCs w:val="21"/>
              </w:rPr>
              <w:t>持仓明细数据</w:t>
            </w:r>
            <w:r>
              <w:rPr>
                <w:rFonts w:hint="eastAsia"/>
                <w:sz w:val="21"/>
                <w:szCs w:val="21"/>
                <w:lang w:eastAsia="zh-CN"/>
              </w:rPr>
              <w:t>。</w:t>
            </w:r>
          </w:p>
        </w:tc>
      </w:tr>
    </w:tbl>
    <w:p w14:paraId="16512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0000FF"/>
          <w:lang w:val="en-US" w:eastAsia="zh-CN"/>
        </w:rPr>
      </w:pPr>
      <w:r>
        <w:rPr>
          <w:rFonts w:hint="eastAsia" w:ascii="宋体" w:hAnsi="宋体" w:eastAsia="宋体" w:cs="宋体"/>
          <w:b w:val="0"/>
          <w:bCs w:val="0"/>
          <w:lang w:val="en-US" w:eastAsia="zh-CN"/>
        </w:rPr>
        <w:t>全局界面如下：</w:t>
      </w:r>
    </w:p>
    <w:p w14:paraId="7EC1AA1D">
      <w:pPr>
        <w:numPr>
          <w:ilvl w:val="0"/>
          <w:numId w:val="0"/>
        </w:numPr>
        <w:spacing w:line="360" w:lineRule="auto"/>
      </w:pPr>
      <w:r>
        <w:drawing>
          <wp:inline distT="0" distB="0" distL="114300" distR="114300">
            <wp:extent cx="5269230" cy="286575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4"/>
                    <a:stretch>
                      <a:fillRect/>
                    </a:stretch>
                  </pic:blipFill>
                  <pic:spPr>
                    <a:xfrm>
                      <a:off x="0" y="0"/>
                      <a:ext cx="5269230" cy="2865755"/>
                    </a:xfrm>
                    <a:prstGeom prst="rect">
                      <a:avLst/>
                    </a:prstGeom>
                    <a:noFill/>
                    <a:ln>
                      <a:noFill/>
                    </a:ln>
                  </pic:spPr>
                </pic:pic>
              </a:graphicData>
            </a:graphic>
          </wp:inline>
        </w:drawing>
      </w:r>
    </w:p>
    <w:p w14:paraId="7A70076A">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实例列表</w:t>
      </w:r>
    </w:p>
    <w:p w14:paraId="2891CA1A">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eastAsia"/>
          <w:sz w:val="24"/>
          <w:szCs w:val="24"/>
          <w:lang w:val="en-US" w:eastAsia="zh-CN"/>
        </w:rPr>
      </w:pPr>
      <w:r>
        <w:rPr>
          <w:rFonts w:hint="eastAsia"/>
          <w:sz w:val="24"/>
          <w:szCs w:val="24"/>
          <w:lang w:val="en-US" w:eastAsia="zh-CN"/>
        </w:rPr>
        <w:t>算法创建</w:t>
      </w:r>
    </w:p>
    <w:p w14:paraId="068EA1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0000FF"/>
          <w:lang w:val="en-US" w:eastAsia="zh-CN"/>
        </w:rPr>
      </w:pPr>
      <w:r>
        <w:rPr>
          <w:rFonts w:hint="eastAsia" w:ascii="宋体" w:hAnsi="宋体" w:eastAsia="宋体" w:cs="宋体"/>
          <w:b w:val="0"/>
          <w:bCs w:val="0"/>
          <w:lang w:val="en-US" w:eastAsia="zh-CN"/>
        </w:rPr>
        <w:t>在实例列表上方点击“新建”按钮，弹出算法创建页面，可在此页面进行参数设置。</w:t>
      </w:r>
    </w:p>
    <w:p w14:paraId="078708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val="0"/>
          <w:bCs w:val="0"/>
          <w:color w:val="0000FF"/>
          <w:lang w:val="en-US" w:eastAsia="zh-CN"/>
        </w:rPr>
      </w:pPr>
      <w:r>
        <w:drawing>
          <wp:inline distT="0" distB="0" distL="114300" distR="114300">
            <wp:extent cx="5269230" cy="2865755"/>
            <wp:effectExtent l="0" t="0" r="7620" b="1079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75"/>
                    <a:stretch>
                      <a:fillRect/>
                    </a:stretch>
                  </pic:blipFill>
                  <pic:spPr>
                    <a:xfrm>
                      <a:off x="0" y="0"/>
                      <a:ext cx="5269230" cy="2865755"/>
                    </a:xfrm>
                    <a:prstGeom prst="rect">
                      <a:avLst/>
                    </a:prstGeom>
                    <a:noFill/>
                    <a:ln>
                      <a:noFill/>
                    </a:ln>
                  </pic:spPr>
                </pic:pic>
              </a:graphicData>
            </a:graphic>
          </wp:inline>
        </w:drawing>
      </w:r>
    </w:p>
    <w:p w14:paraId="7D7C11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G-TWAP和G-VWAP策略算法创建参数说明如下：</w:t>
      </w:r>
    </w:p>
    <w:p w14:paraId="62A51F09">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实例参数模板</w:t>
      </w:r>
    </w:p>
    <w:p w14:paraId="2DCCE5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rPr>
      </w:pPr>
      <w:r>
        <w:rPr>
          <w:rFonts w:hint="eastAsia" w:ascii="宋体" w:hAnsi="宋体" w:eastAsia="宋体" w:cs="宋体"/>
          <w:b w:val="0"/>
          <w:bCs w:val="0"/>
          <w:lang w:val="en-US" w:eastAsia="zh-CN"/>
        </w:rPr>
        <w:t>选择框，默认未使用算法模板，下拉展示已保存的算法模板，右侧“+”按钮可将当前设置的算法参数，保存为参数模板；右侧“-”按钮可删除选择框中选择的实例参数模板。</w:t>
      </w:r>
    </w:p>
    <w:p w14:paraId="7B94152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账户名称</w:t>
      </w:r>
    </w:p>
    <w:p w14:paraId="28639B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选择框，必填项，展示所绑定的期货资金账号。右侧锁定/解锁切换按钮，默认解锁状态，点击则锁定选择当前资产账号。</w:t>
      </w:r>
    </w:p>
    <w:p w14:paraId="392E8937">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算法类型</w:t>
      </w:r>
    </w:p>
    <w:p w14:paraId="4E3F3B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选择框，必填项，支持G-TWAP、G-VWAP两种选项，默认G-TWAP。</w:t>
      </w:r>
    </w:p>
    <w:p w14:paraId="4FA1403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合约代码</w:t>
      </w:r>
    </w:p>
    <w:p w14:paraId="3B4160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输入框+选择框，必填项，输入过程中支持模糊匹配。点击下拉按钮，展示账户名称下所支持的所有市场合约。</w:t>
      </w:r>
    </w:p>
    <w:p w14:paraId="78D803D7">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市场</w:t>
      </w:r>
    </w:p>
    <w:p w14:paraId="162DDB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填写框，必填项，不支持手工输入，合约代码选择后，自动带入对应的市场名称。</w:t>
      </w:r>
    </w:p>
    <w:p w14:paraId="7A6C9A1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委托数量</w:t>
      </w:r>
    </w:p>
    <w:p w14:paraId="1A5DF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必填项，只允许输入正整数，数值输入上限为10位数，超出则无法输入，合约代码选择后，输入框右侧显示对应的数量单位（随着合约代码切换自动变化），委托数量不能小于该合约单笔(合约限价有最小下单数量)最小下单数量。</w:t>
      </w:r>
    </w:p>
    <w:p w14:paraId="3D21886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限价</w:t>
      </w:r>
    </w:p>
    <w:p w14:paraId="3AC7DB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输入框，必填项，无默认值，整数位限填15位，小数位根据价格精度来限制位数，超过则无法输入。注意：限价填写数值不能超出该合约的涨跌幅范围，否则创建后无法运行且日志报错。</w:t>
      </w:r>
    </w:p>
    <w:p w14:paraId="1A024D9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交易方向</w:t>
      </w:r>
    </w:p>
    <w:p w14:paraId="4BD9E4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选择框，必填项，不支持手工输入，支持买开、买平、卖开、卖平四种选择，默认买开。</w:t>
      </w:r>
    </w:p>
    <w:p w14:paraId="70CD542D">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平今/昨</w:t>
      </w:r>
    </w:p>
    <w:p w14:paraId="3C1F9D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b w:val="0"/>
          <w:bCs w:val="0"/>
          <w:lang w:val="en-US" w:eastAsia="zh-CN"/>
        </w:rPr>
        <w:t>选择框，必填项，不支持手工输入，支持平今和平昨两种选择，默认平今；在市场是上期所和上期能源，开平仓选择平仓时，展示该字段，否则不展示。</w:t>
      </w:r>
    </w:p>
    <w:p w14:paraId="54E736DB">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算法开始时间</w:t>
      </w:r>
    </w:p>
    <w:p w14:paraId="72AF6D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输入框，必填项，默认展示当前系统时间，支持手工修改，点击上（+）/下（-）箭头或滚动鼠标滚动轮，增加/减少光标定位区域的数值（按1个单位增减）。</w:t>
      </w:r>
    </w:p>
    <w:p w14:paraId="0898EC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右侧选择框即算法执行时间，相关关系为：算法开始时间+算法执行时间+非交易时间（如含）=算法过期时间，过滤掉非交易时间，鼠标悬停该区域，提示“仅剔除日盘非交易时间”，默认空白，下拉可以选择“空白、15分、20分、30分、40分、45分、60分、120分、180分、240分”。</w:t>
      </w:r>
    </w:p>
    <w:p w14:paraId="4C8249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b w:val="0"/>
          <w:bCs w:val="0"/>
          <w:lang w:val="en-US" w:eastAsia="zh-CN"/>
        </w:rPr>
        <w:t>注意：算法开始时间不能早于当前系统时间10分钟，算法开始时间不能早于开盘时间，算法开始时间不能晚于收盘时间。</w:t>
      </w:r>
    </w:p>
    <w:p w14:paraId="230A7DF3">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算法过期时间</w:t>
      </w:r>
    </w:p>
    <w:p w14:paraId="02E340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highlight w:val="none"/>
        </w:rPr>
      </w:pPr>
      <w:r>
        <w:rPr>
          <w:rFonts w:hint="eastAsia" w:ascii="宋体" w:hAnsi="宋体" w:eastAsia="宋体" w:cs="宋体"/>
          <w:b w:val="0"/>
          <w:bCs w:val="0"/>
          <w:lang w:val="en-US" w:eastAsia="zh-CN"/>
        </w:rPr>
        <w:t>输入框，必填项，默认展示当前交易日日期的15:00:00，支持手工修改，点击上（+）/下（-）箭头或滚动鼠标滚动轮，增加/减少光标定位区域的数值（按1个单位增减）；当算法开始时间右侧选择框有选择值时，根据选择值重新生成并更新算法过期时间。</w:t>
      </w:r>
    </w:p>
    <w:p w14:paraId="201F3C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ighlight w:val="none"/>
          <w:lang w:val="en-US" w:eastAsia="zh-CN"/>
        </w:rPr>
      </w:pPr>
      <w:r>
        <w:rPr>
          <w:rFonts w:hint="eastAsia" w:ascii="宋体" w:hAnsi="宋体" w:eastAsia="宋体" w:cs="宋体"/>
          <w:b w:val="0"/>
          <w:bCs w:val="0"/>
          <w:lang w:val="en-US" w:eastAsia="zh-CN"/>
        </w:rPr>
        <w:t>注意：算法过期时间不能早于当前系统时间，算法过期时间不能早于算法开始时间。算法开始/过期时间设置上不支持跨日，仅支持设置一个交易日内从夜盘开始-日盘休市的时间段的策略，具体的开/收盘时间以所选择品种合约在交易所的开收盘时间为准。</w:t>
      </w:r>
    </w:p>
    <w:p w14:paraId="3737C3A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风格参数</w:t>
      </w:r>
    </w:p>
    <w:p w14:paraId="793B2A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选择框，必填项，支持保守、正常和激进三种选择，默认正常。</w:t>
      </w:r>
    </w:p>
    <w:p w14:paraId="595A1186">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最大市场占比</w:t>
      </w:r>
    </w:p>
    <w:p w14:paraId="2408E0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输入框，选填项，默认30（单位%），有效范围0-100，限2位小数。不填写、填写0或填写100表示不控制。</w:t>
      </w:r>
    </w:p>
    <w:p w14:paraId="08DDFB2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最小委托金额</w:t>
      </w:r>
    </w:p>
    <w:p w14:paraId="1C3E67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输入框，选填项，默认0，只能输入正数和小数点，整数位限15位，小数位限2位，超过则无法输入。不填写或填写0表示不控制。</w:t>
      </w:r>
    </w:p>
    <w:p w14:paraId="6446F2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注意：如果最小委托金额大于实例剩余委托数量*委托价格</w:t>
      </w:r>
      <w:r>
        <w:rPr>
          <w:rFonts w:hint="eastAsia" w:ascii="宋体" w:hAnsi="宋体" w:eastAsia="宋体" w:cs="宋体"/>
          <w:szCs w:val="21"/>
          <w:vertAlign w:val="baseline"/>
          <w:lang w:val="en-US" w:eastAsia="zh-CN"/>
        </w:rPr>
        <w:t>*合约乘数</w:t>
      </w:r>
      <w:r>
        <w:rPr>
          <w:rFonts w:hint="eastAsia" w:ascii="宋体" w:hAnsi="宋体" w:eastAsia="宋体" w:cs="宋体"/>
          <w:b w:val="0"/>
          <w:bCs w:val="0"/>
          <w:lang w:val="en-US" w:eastAsia="zh-CN"/>
        </w:rPr>
        <w:t>，则按照实例剩余委托数量下单。</w:t>
      </w:r>
    </w:p>
    <w:p w14:paraId="36E157B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相对限价</w:t>
      </w:r>
    </w:p>
    <w:p w14:paraId="7A5E04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选择框，选填项，支持对方盘口/己方盘口/昨收价/最新价/到达价/市场VWAP均价/不控制选项，默认值不控制。</w:t>
      </w:r>
    </w:p>
    <w:p w14:paraId="54F83D3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单位</w:t>
      </w:r>
    </w:p>
    <w:p w14:paraId="0BA698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选择框，选填项，支持价格最小变动单位/基点(万分之一)/金额选择。默认价格最小变动单位。（如果相对限价选择了价格类型，则必填，选择不控制，则无法填写）</w:t>
      </w:r>
    </w:p>
    <w:p w14:paraId="72F13CAE">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变化量</w:t>
      </w:r>
    </w:p>
    <w:p w14:paraId="3403EB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输入框，选填项，默认0，可以是正数/零/负数。（如果相对限价选择了价格类型，则必填，选择不控制，则无法填写）</w:t>
      </w:r>
    </w:p>
    <w:p w14:paraId="227C06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相对限价、单位、变化量关系如下：</w:t>
      </w:r>
    </w:p>
    <w:p w14:paraId="30B16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default" w:ascii="宋体" w:hAnsi="宋体" w:eastAsia="宋体" w:cs="宋体"/>
          <w:b w:val="0"/>
          <w:bCs w:val="0"/>
          <w:lang w:val="en-US" w:eastAsia="zh-CN"/>
        </w:rPr>
        <w:t>·对于买单:相对限价=基准价+单位*变化量</w:t>
      </w:r>
    </w:p>
    <w:p w14:paraId="7E9069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default" w:ascii="宋体" w:hAnsi="宋体" w:eastAsia="宋体" w:cs="宋体"/>
          <w:b w:val="0"/>
          <w:bCs w:val="0"/>
          <w:lang w:val="en-US" w:eastAsia="zh-CN"/>
        </w:rPr>
        <w:t>·对于卖单:相对限价=基准价-单位*变化量</w:t>
      </w:r>
    </w:p>
    <w:p w14:paraId="3AD806C7">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涨跌停委托</w:t>
      </w:r>
    </w:p>
    <w:p w14:paraId="12C7AA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选择框，必填项，默认涨跌停不委托，其他选项包括：涨停不买跌停不卖、跌停不买涨停不卖、涨跌停挂剩余量、涨跌停委托。</w:t>
      </w:r>
    </w:p>
    <w:p w14:paraId="63B28B09">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投保标记</w:t>
      </w:r>
    </w:p>
    <w:p w14:paraId="150019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选择框，选填项，展示默认值投机。</w:t>
      </w:r>
    </w:p>
    <w:p w14:paraId="51E778C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备注</w:t>
      </w:r>
    </w:p>
    <w:p w14:paraId="461CC0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kern w:val="2"/>
          <w:sz w:val="21"/>
          <w:szCs w:val="21"/>
          <w:highlight w:val="none"/>
          <w:vertAlign w:val="baseline"/>
          <w:lang w:val="en-US" w:eastAsia="zh-CN" w:bidi="ar-SA"/>
        </w:rPr>
      </w:pPr>
      <w:r>
        <w:rPr>
          <w:rFonts w:hint="eastAsia" w:ascii="宋体" w:hAnsi="宋体" w:eastAsia="宋体" w:cs="宋体"/>
          <w:b w:val="0"/>
          <w:bCs w:val="0"/>
          <w:lang w:val="en-US" w:eastAsia="zh-CN"/>
        </w:rPr>
        <w:t>可手动输入，如无输入，输出默认备注：合约代码+交易所简称  合约名称  委托+数值  限价+数值。</w:t>
      </w:r>
    </w:p>
    <w:p w14:paraId="4E6C960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b/>
          <w:bCs/>
          <w:lang w:val="en-US" w:eastAsia="zh-CN"/>
        </w:rPr>
      </w:pPr>
      <w:r>
        <w:rPr>
          <w:rFonts w:hint="eastAsia"/>
          <w:b/>
          <w:bCs/>
          <w:lang w:val="en-US" w:eastAsia="zh-CN"/>
        </w:rPr>
        <w:t>创建后关闭</w:t>
      </w:r>
    </w:p>
    <w:p w14:paraId="407298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lang w:val="en-US" w:eastAsia="zh-CN"/>
        </w:rPr>
      </w:pPr>
      <w:r>
        <w:rPr>
          <w:rFonts w:hint="eastAsia" w:ascii="宋体" w:hAnsi="宋体" w:eastAsia="宋体" w:cs="宋体"/>
          <w:b w:val="0"/>
          <w:bCs w:val="0"/>
          <w:lang w:val="en-US" w:eastAsia="zh-CN"/>
        </w:rPr>
        <w:t>默认勾选，勾选表示算法创建成功后关闭该页面，不勾选则表示算法创建成功过不关闭该页面。</w:t>
      </w:r>
    </w:p>
    <w:p w14:paraId="4724E7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参数设置完成后，点击确定，即确定创建并启动算法；点击取消：即取消本次算法创建，页面关闭。</w:t>
      </w:r>
    </w:p>
    <w:p w14:paraId="66E9F653">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eastAsia"/>
          <w:sz w:val="24"/>
          <w:szCs w:val="24"/>
          <w:lang w:val="en-US" w:eastAsia="zh-CN"/>
        </w:rPr>
      </w:pPr>
      <w:r>
        <w:rPr>
          <w:rFonts w:hint="eastAsia"/>
          <w:sz w:val="24"/>
          <w:szCs w:val="24"/>
          <w:lang w:val="en-US" w:eastAsia="zh-CN"/>
        </w:rPr>
        <w:t>算法改单</w:t>
      </w:r>
    </w:p>
    <w:p w14:paraId="3D2C2A85">
      <w:pPr>
        <w:numPr>
          <w:ilvl w:val="0"/>
          <w:numId w:val="0"/>
        </w:numPr>
        <w:bidi w:val="0"/>
        <w:spacing w:line="400" w:lineRule="exact"/>
        <w:ind w:firstLine="420" w:firstLineChars="200"/>
        <w:rPr>
          <w:rFonts w:hint="eastAsia" w:ascii="宋体" w:hAnsi="宋体" w:eastAsia="宋体" w:cs="宋体"/>
          <w:b w:val="0"/>
          <w:bCs w:val="0"/>
          <w:color w:val="0000FF"/>
          <w:lang w:val="en-US" w:eastAsia="zh-CN"/>
        </w:rPr>
      </w:pPr>
      <w:r>
        <w:rPr>
          <w:rFonts w:hint="eastAsia" w:ascii="宋体" w:hAnsi="宋体" w:eastAsia="宋体" w:cs="宋体"/>
          <w:lang w:val="en-US" w:eastAsia="zh-CN"/>
        </w:rPr>
        <w:t>在算法实例列表中，右击</w:t>
      </w:r>
      <w:r>
        <w:rPr>
          <w:rFonts w:hint="eastAsia" w:ascii="宋体" w:hAnsi="宋体" w:eastAsia="宋体" w:cs="宋体"/>
          <w:sz w:val="21"/>
          <w:szCs w:val="21"/>
          <w:highlight w:val="none"/>
          <w:vertAlign w:val="baseline"/>
          <w:lang w:val="en-US" w:eastAsia="zh-CN"/>
        </w:rPr>
        <w:t>“运行中”</w:t>
      </w:r>
      <w:r>
        <w:rPr>
          <w:rFonts w:hint="eastAsia" w:ascii="宋体" w:hAnsi="宋体" w:eastAsia="宋体" w:cs="宋体"/>
          <w:sz w:val="21"/>
          <w:szCs w:val="21"/>
          <w:vertAlign w:val="baseline"/>
          <w:lang w:val="en-US" w:eastAsia="zh-CN"/>
        </w:rPr>
        <w:t>状态的算法实例，可以进行改单，</w:t>
      </w:r>
      <w:r>
        <w:rPr>
          <w:rFonts w:hint="eastAsia" w:ascii="宋体" w:hAnsi="宋体" w:eastAsia="宋体" w:cs="宋体"/>
          <w:sz w:val="21"/>
          <w:szCs w:val="21"/>
          <w:highlight w:val="none"/>
          <w:vertAlign w:val="baseline"/>
          <w:lang w:val="en-US" w:eastAsia="zh-CN"/>
        </w:rPr>
        <w:t>除算法类型、合约标的及买卖方向外，其他参数均可修改，注意：修改后的委托量要大于已委托未成量+成交的数量，否则改单失败。</w:t>
      </w:r>
    </w:p>
    <w:p w14:paraId="1624A8A9">
      <w:pPr>
        <w:bidi w:val="0"/>
        <w:rPr>
          <w:rFonts w:hint="eastAsia" w:ascii="宋体" w:hAnsi="宋体" w:eastAsia="宋体" w:cs="宋体"/>
          <w:b w:val="0"/>
          <w:bCs w:val="0"/>
          <w:color w:val="0000FF"/>
          <w:lang w:val="en-US" w:eastAsia="zh-CN"/>
        </w:rPr>
      </w:pPr>
      <w:r>
        <w:drawing>
          <wp:inline distT="0" distB="0" distL="114300" distR="114300">
            <wp:extent cx="5259705" cy="1591310"/>
            <wp:effectExtent l="0" t="0" r="17145"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76"/>
                    <a:stretch>
                      <a:fillRect/>
                    </a:stretch>
                  </pic:blipFill>
                  <pic:spPr>
                    <a:xfrm>
                      <a:off x="0" y="0"/>
                      <a:ext cx="5259705" cy="1591310"/>
                    </a:xfrm>
                    <a:prstGeom prst="rect">
                      <a:avLst/>
                    </a:prstGeom>
                    <a:noFill/>
                    <a:ln>
                      <a:noFill/>
                    </a:ln>
                  </pic:spPr>
                </pic:pic>
              </a:graphicData>
            </a:graphic>
          </wp:inline>
        </w:drawing>
      </w:r>
    </w:p>
    <w:p w14:paraId="1057A44F">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eastAsia"/>
          <w:sz w:val="24"/>
          <w:szCs w:val="24"/>
          <w:lang w:val="en-US" w:eastAsia="zh-CN"/>
        </w:rPr>
      </w:pPr>
      <w:r>
        <w:rPr>
          <w:rFonts w:hint="eastAsia"/>
          <w:sz w:val="24"/>
          <w:szCs w:val="24"/>
          <w:lang w:val="en-US" w:eastAsia="zh-CN"/>
        </w:rPr>
        <w:t>算法复制</w:t>
      </w:r>
    </w:p>
    <w:p w14:paraId="5954AC3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在算法实例列表中，右击任意一条算法实例可以进行算法复制（以操作复制前的算法参数值为复制值），可对全参数进行修改。</w:t>
      </w:r>
    </w:p>
    <w:p w14:paraId="2E7D23B9">
      <w:pPr>
        <w:bidi w:val="0"/>
      </w:pPr>
      <w:r>
        <w:drawing>
          <wp:inline distT="0" distB="0" distL="114300" distR="114300">
            <wp:extent cx="5259705" cy="1591310"/>
            <wp:effectExtent l="0" t="0" r="17145" b="889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7"/>
                    <a:stretch>
                      <a:fillRect/>
                    </a:stretch>
                  </pic:blipFill>
                  <pic:spPr>
                    <a:xfrm>
                      <a:off x="0" y="0"/>
                      <a:ext cx="5259705" cy="1591310"/>
                    </a:xfrm>
                    <a:prstGeom prst="rect">
                      <a:avLst/>
                    </a:prstGeom>
                    <a:noFill/>
                    <a:ln>
                      <a:noFill/>
                    </a:ln>
                  </pic:spPr>
                </pic:pic>
              </a:graphicData>
            </a:graphic>
          </wp:inline>
        </w:drawing>
      </w:r>
    </w:p>
    <w:p w14:paraId="53490792">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eastAsia"/>
          <w:sz w:val="24"/>
          <w:szCs w:val="24"/>
          <w:lang w:val="en-US" w:eastAsia="zh-CN"/>
        </w:rPr>
      </w:pPr>
      <w:r>
        <w:rPr>
          <w:rFonts w:hint="eastAsia"/>
          <w:sz w:val="24"/>
          <w:szCs w:val="24"/>
          <w:lang w:val="en-US" w:eastAsia="zh-CN"/>
        </w:rPr>
        <w:t>启动/暂停/停止/删除</w:t>
      </w:r>
    </w:p>
    <w:p w14:paraId="4D7FCD9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在算法实例列表中，可对单条选中的算法实例进行启动/暂停/停止/删除操作。点击右上角启动、暂停、停止、删除按钮，可对选中的算法实例进行批量操作。</w:t>
      </w:r>
    </w:p>
    <w:p w14:paraId="19228F95">
      <w:pPr>
        <w:bidi w:val="0"/>
        <w:rPr>
          <w:rFonts w:hint="eastAsia"/>
          <w:lang w:val="en-US" w:eastAsia="zh-CN"/>
        </w:rPr>
      </w:pPr>
      <w:r>
        <w:rPr>
          <w:rFonts w:hint="eastAsia"/>
          <w:lang w:val="en-US" w:eastAsia="zh-CN"/>
        </w:rPr>
        <w:drawing>
          <wp:inline distT="0" distB="0" distL="114300" distR="114300">
            <wp:extent cx="5259705" cy="1591310"/>
            <wp:effectExtent l="0" t="0" r="17145" b="8890"/>
            <wp:docPr id="76" name="图片 7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片1"/>
                    <pic:cNvPicPr>
                      <a:picLocks noChangeAspect="1"/>
                    </pic:cNvPicPr>
                  </pic:nvPicPr>
                  <pic:blipFill>
                    <a:blip r:embed="rId78"/>
                    <a:stretch>
                      <a:fillRect/>
                    </a:stretch>
                  </pic:blipFill>
                  <pic:spPr>
                    <a:xfrm>
                      <a:off x="0" y="0"/>
                      <a:ext cx="5259705" cy="1591310"/>
                    </a:xfrm>
                    <a:prstGeom prst="rect">
                      <a:avLst/>
                    </a:prstGeom>
                  </pic:spPr>
                </pic:pic>
              </a:graphicData>
            </a:graphic>
          </wp:inline>
        </w:drawing>
      </w:r>
    </w:p>
    <w:p w14:paraId="01E0BE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各操作类型与对应的执行状态关系如下：</w:t>
      </w:r>
    </w:p>
    <w:p w14:paraId="706554D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启动：针对“已暂停”状态的算法可以操作。</w:t>
      </w:r>
    </w:p>
    <w:p w14:paraId="247B598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暂停：针对“运行中”状态的算法可以操作。</w:t>
      </w:r>
    </w:p>
    <w:p w14:paraId="476CD3A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停止：针对“未启动”、“运行中”和“已暂停”状态的算法可以操作。</w:t>
      </w:r>
    </w:p>
    <w:p w14:paraId="02E69FC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删除：针对处于终态，例如“已完成”、“已停止”和“异常”状态的算法可以操作。</w:t>
      </w:r>
    </w:p>
    <w:p w14:paraId="72BEDA15">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执行进度展示</w:t>
      </w:r>
    </w:p>
    <w:p w14:paraId="28902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0000FF"/>
          <w:lang w:val="en-US" w:eastAsia="zh-CN"/>
        </w:rPr>
      </w:pPr>
      <w:r>
        <w:rPr>
          <w:rFonts w:hint="eastAsia" w:ascii="宋体" w:hAnsi="宋体" w:eastAsia="宋体" w:cs="宋体"/>
          <w:b w:val="0"/>
          <w:bCs w:val="0"/>
          <w:lang w:val="en-US" w:eastAsia="zh-CN"/>
        </w:rPr>
        <w:t>展示所选中实例对应的合约标的执行进度。</w:t>
      </w:r>
    </w:p>
    <w:p w14:paraId="280CE9F8">
      <w:pPr>
        <w:bidi w:val="0"/>
        <w:rPr>
          <w:rFonts w:hint="eastAsia" w:ascii="宋体" w:hAnsi="宋体" w:eastAsia="宋体" w:cs="宋体"/>
          <w:b w:val="0"/>
          <w:bCs w:val="0"/>
          <w:color w:val="0000FF"/>
          <w:lang w:val="en-US" w:eastAsia="zh-CN"/>
        </w:rPr>
      </w:pPr>
      <w:r>
        <w:drawing>
          <wp:inline distT="0" distB="0" distL="114300" distR="114300">
            <wp:extent cx="5263515" cy="1049655"/>
            <wp:effectExtent l="0" t="0" r="13335" b="1714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79"/>
                    <a:stretch>
                      <a:fillRect/>
                    </a:stretch>
                  </pic:blipFill>
                  <pic:spPr>
                    <a:xfrm>
                      <a:off x="0" y="0"/>
                      <a:ext cx="5263515" cy="1049655"/>
                    </a:xfrm>
                    <a:prstGeom prst="rect">
                      <a:avLst/>
                    </a:prstGeom>
                    <a:noFill/>
                    <a:ln>
                      <a:noFill/>
                    </a:ln>
                  </pic:spPr>
                </pic:pic>
              </a:graphicData>
            </a:graphic>
          </wp:inline>
        </w:drawing>
      </w:r>
    </w:p>
    <w:p w14:paraId="7D3F81D6">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lang w:val="en-US" w:eastAsia="zh-CN"/>
        </w:rPr>
      </w:pPr>
      <w:r>
        <w:rPr>
          <w:rFonts w:hint="eastAsia" w:ascii="宋体" w:hAnsi="宋体" w:eastAsia="宋体" w:cs="宋体"/>
          <w:b/>
          <w:bCs/>
          <w:sz w:val="24"/>
          <w:szCs w:val="24"/>
          <w:lang w:val="en-US" w:eastAsia="zh-CN"/>
        </w:rPr>
        <w:t>委托明细</w:t>
      </w:r>
    </w:p>
    <w:p w14:paraId="65966E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展示所选中实例运行过程中已下单的委托订单，支持撤单、撤买、撤卖和全撤操作。</w:t>
      </w:r>
    </w:p>
    <w:p w14:paraId="403DA7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撤单：勾选委托状态为已报、部成的委托订单，可对委托订单进行撤单操作；</w:t>
      </w:r>
    </w:p>
    <w:p w14:paraId="69F1B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撤买：点击可对所有委托状态为已报、部成的委托买单进行撤单操作；</w:t>
      </w:r>
    </w:p>
    <w:p w14:paraId="5265D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撤卖：点击可对所有委托状态为已报、部成的委托卖单进行撤单操作；</w:t>
      </w:r>
    </w:p>
    <w:p w14:paraId="71FF70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color w:val="0000FF"/>
          <w:lang w:val="en-US" w:eastAsia="zh-CN"/>
        </w:rPr>
      </w:pPr>
      <w:r>
        <w:rPr>
          <w:rFonts w:hint="eastAsia" w:ascii="宋体" w:hAnsi="宋体" w:eastAsia="宋体" w:cs="宋体"/>
          <w:b w:val="0"/>
          <w:bCs w:val="0"/>
          <w:lang w:val="en-US" w:eastAsia="zh-CN"/>
        </w:rPr>
        <w:t>全撤：点击可对所有委托状态为已报、部成的委托订单进行撤单操作。</w:t>
      </w:r>
    </w:p>
    <w:p w14:paraId="6E0208F4">
      <w:pPr>
        <w:bidi w:val="0"/>
        <w:rPr>
          <w:rFonts w:hint="eastAsia" w:ascii="宋体" w:hAnsi="宋体" w:eastAsia="宋体" w:cs="宋体"/>
          <w:lang w:val="en-US" w:eastAsia="zh-CN"/>
        </w:rPr>
      </w:pPr>
      <w:r>
        <w:drawing>
          <wp:inline distT="0" distB="0" distL="114300" distR="114300">
            <wp:extent cx="5263515" cy="1049655"/>
            <wp:effectExtent l="0" t="0" r="13335" b="17145"/>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pic:cNvPicPr>
                      <a:picLocks noChangeAspect="1"/>
                    </pic:cNvPicPr>
                  </pic:nvPicPr>
                  <pic:blipFill>
                    <a:blip r:embed="rId80"/>
                    <a:stretch>
                      <a:fillRect/>
                    </a:stretch>
                  </pic:blipFill>
                  <pic:spPr>
                    <a:xfrm>
                      <a:off x="0" y="0"/>
                      <a:ext cx="5263515" cy="1049655"/>
                    </a:xfrm>
                    <a:prstGeom prst="rect">
                      <a:avLst/>
                    </a:prstGeom>
                    <a:noFill/>
                    <a:ln>
                      <a:noFill/>
                    </a:ln>
                  </pic:spPr>
                </pic:pic>
              </a:graphicData>
            </a:graphic>
          </wp:inline>
        </w:drawing>
      </w:r>
    </w:p>
    <w:p w14:paraId="49DC2ED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成交明细</w:t>
      </w:r>
    </w:p>
    <w:p w14:paraId="2E3B0C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color w:val="0000FF"/>
          <w:sz w:val="21"/>
          <w:szCs w:val="21"/>
          <w:lang w:val="en-US" w:eastAsia="zh-CN"/>
        </w:rPr>
      </w:pPr>
      <w:r>
        <w:rPr>
          <w:rFonts w:hint="eastAsia" w:ascii="宋体" w:hAnsi="宋体" w:eastAsia="宋体" w:cs="宋体"/>
          <w:b w:val="0"/>
          <w:bCs w:val="0"/>
          <w:lang w:val="en-US" w:eastAsia="zh-CN"/>
        </w:rPr>
        <w:t>展示实例列表中所选中实例的成交订单。</w:t>
      </w:r>
    </w:p>
    <w:p w14:paraId="1EF9C26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olor w:val="0000FF"/>
          <w:sz w:val="21"/>
          <w:szCs w:val="21"/>
          <w:lang w:val="en-US" w:eastAsia="zh-CN"/>
        </w:rPr>
      </w:pPr>
      <w:r>
        <w:drawing>
          <wp:inline distT="0" distB="0" distL="114300" distR="114300">
            <wp:extent cx="5263515" cy="1049655"/>
            <wp:effectExtent l="0" t="0" r="13335" b="17145"/>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81"/>
                    <a:stretch>
                      <a:fillRect/>
                    </a:stretch>
                  </pic:blipFill>
                  <pic:spPr>
                    <a:xfrm>
                      <a:off x="0" y="0"/>
                      <a:ext cx="5263515" cy="1049655"/>
                    </a:xfrm>
                    <a:prstGeom prst="rect">
                      <a:avLst/>
                    </a:prstGeom>
                    <a:noFill/>
                    <a:ln>
                      <a:noFill/>
                    </a:ln>
                  </pic:spPr>
                </pic:pic>
              </a:graphicData>
            </a:graphic>
          </wp:inline>
        </w:drawing>
      </w:r>
    </w:p>
    <w:p w14:paraId="287031F1">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算法运行日志</w:t>
      </w:r>
    </w:p>
    <w:p w14:paraId="43BA21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0000FF"/>
          <w:sz w:val="21"/>
          <w:szCs w:val="21"/>
          <w:lang w:val="en-US" w:eastAsia="zh-CN"/>
        </w:rPr>
      </w:pPr>
      <w:r>
        <w:rPr>
          <w:rFonts w:hint="eastAsia" w:ascii="宋体" w:hAnsi="宋体" w:eastAsia="宋体" w:cs="宋体"/>
          <w:b w:val="0"/>
          <w:bCs w:val="0"/>
          <w:lang w:val="en-US" w:eastAsia="zh-CN"/>
        </w:rPr>
        <w:t>展示所选中实例运行的日志记录。</w:t>
      </w:r>
    </w:p>
    <w:p w14:paraId="5E9272DA">
      <w:pPr>
        <w:rPr>
          <w:rFonts w:hint="eastAsia" w:ascii="宋体" w:hAnsi="宋体" w:eastAsia="宋体" w:cs="宋体"/>
          <w:b w:val="0"/>
          <w:bCs w:val="0"/>
          <w:color w:val="0000FF"/>
          <w:sz w:val="21"/>
          <w:szCs w:val="21"/>
          <w:lang w:val="en-US" w:eastAsia="zh-CN"/>
        </w:rPr>
      </w:pPr>
      <w:r>
        <w:drawing>
          <wp:inline distT="0" distB="0" distL="114300" distR="114300">
            <wp:extent cx="5263515" cy="1049655"/>
            <wp:effectExtent l="0" t="0" r="13335" b="1714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82"/>
                    <a:stretch>
                      <a:fillRect/>
                    </a:stretch>
                  </pic:blipFill>
                  <pic:spPr>
                    <a:xfrm>
                      <a:off x="0" y="0"/>
                      <a:ext cx="5263515" cy="1049655"/>
                    </a:xfrm>
                    <a:prstGeom prst="rect">
                      <a:avLst/>
                    </a:prstGeom>
                    <a:noFill/>
                    <a:ln>
                      <a:noFill/>
                    </a:ln>
                  </pic:spPr>
                </pic:pic>
              </a:graphicData>
            </a:graphic>
          </wp:inline>
        </w:drawing>
      </w:r>
    </w:p>
    <w:p w14:paraId="5B530101">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val="0"/>
          <w:bCs w:val="0"/>
          <w:lang w:val="en-US" w:eastAsia="zh-CN"/>
        </w:rPr>
      </w:pPr>
      <w:r>
        <w:rPr>
          <w:rFonts w:hint="eastAsia" w:ascii="宋体" w:hAnsi="宋体" w:eastAsia="宋体" w:cs="宋体"/>
          <w:b/>
          <w:bCs/>
          <w:sz w:val="24"/>
          <w:szCs w:val="24"/>
          <w:lang w:val="en-US" w:eastAsia="zh-CN"/>
        </w:rPr>
        <w:t>期货持仓</w:t>
      </w:r>
    </w:p>
    <w:p w14:paraId="2DC867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color w:val="0000FF"/>
          <w:sz w:val="21"/>
          <w:szCs w:val="21"/>
          <w:lang w:val="en-US" w:eastAsia="zh-CN"/>
        </w:rPr>
      </w:pPr>
      <w:r>
        <w:rPr>
          <w:rFonts w:hint="eastAsia" w:ascii="宋体" w:hAnsi="宋体" w:eastAsia="宋体" w:cs="宋体"/>
          <w:b w:val="0"/>
          <w:bCs w:val="0"/>
          <w:lang w:val="en-US" w:eastAsia="zh-CN"/>
        </w:rPr>
        <w:t>展示所绑定的期货资金账户的持仓数据</w:t>
      </w:r>
      <w:r>
        <w:rPr>
          <w:rFonts w:hint="eastAsia" w:asciiTheme="minorEastAsia" w:hAnsiTheme="minorEastAsia"/>
          <w:sz w:val="21"/>
          <w:szCs w:val="21"/>
          <w:lang w:val="en-US" w:eastAsia="zh-CN"/>
        </w:rPr>
        <w:t>。</w:t>
      </w:r>
    </w:p>
    <w:p w14:paraId="2D5EFAF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olor w:val="0000FF"/>
          <w:sz w:val="21"/>
          <w:szCs w:val="21"/>
          <w:lang w:val="en-US" w:eastAsia="zh-CN"/>
        </w:rPr>
      </w:pPr>
      <w:r>
        <w:drawing>
          <wp:inline distT="0" distB="0" distL="114300" distR="114300">
            <wp:extent cx="5263515" cy="1049655"/>
            <wp:effectExtent l="0" t="0" r="13335" b="1714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83"/>
                    <a:stretch>
                      <a:fillRect/>
                    </a:stretch>
                  </pic:blipFill>
                  <pic:spPr>
                    <a:xfrm>
                      <a:off x="0" y="0"/>
                      <a:ext cx="5263515" cy="1049655"/>
                    </a:xfrm>
                    <a:prstGeom prst="rect">
                      <a:avLst/>
                    </a:prstGeom>
                    <a:noFill/>
                    <a:ln>
                      <a:noFill/>
                    </a:ln>
                  </pic:spPr>
                </pic:pic>
              </a:graphicData>
            </a:graphic>
          </wp:inline>
        </w:drawing>
      </w:r>
    </w:p>
    <w:p w14:paraId="3670107C">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5" w:name="_Toc10080"/>
      <w:r>
        <w:rPr>
          <w:rFonts w:hint="eastAsia" w:ascii="宋体" w:hAnsi="宋体" w:eastAsia="宋体" w:cs="宋体"/>
          <w:sz w:val="28"/>
          <w:szCs w:val="28"/>
          <w:lang w:val="en-US" w:eastAsia="zh-CN"/>
        </w:rPr>
        <w:t>套利交易</w:t>
      </w:r>
      <w:bookmarkEnd w:id="25"/>
    </w:p>
    <w:p w14:paraId="71F4CE4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26" w:name="_Toc12863"/>
      <w:r>
        <w:rPr>
          <w:rFonts w:hint="eastAsia" w:ascii="宋体" w:hAnsi="宋体" w:eastAsia="宋体" w:cs="宋体"/>
          <w:sz w:val="28"/>
          <w:szCs w:val="28"/>
          <w:lang w:val="en-US" w:eastAsia="zh-CN"/>
        </w:rPr>
        <w:t>套利雷达</w:t>
      </w:r>
      <w:bookmarkEnd w:id="26"/>
    </w:p>
    <w:p w14:paraId="0EA1B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套利雷达是对常见期货套利合约组合进行价差监控的智能工具，具体包括套利雷达监控界面和套利组合构建界面。</w:t>
      </w:r>
    </w:p>
    <w:p w14:paraId="272B1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套利雷达功能支持包含</w:t>
      </w:r>
      <w:r>
        <w:rPr>
          <w:rFonts w:hint="default" w:ascii="宋体" w:hAnsi="宋体" w:eastAsia="宋体" w:cs="宋体"/>
          <w:lang w:val="en-US" w:eastAsia="zh-CN"/>
        </w:rPr>
        <w:t>中金</w:t>
      </w:r>
      <w:r>
        <w:rPr>
          <w:rFonts w:hint="eastAsia" w:ascii="宋体" w:hAnsi="宋体" w:eastAsia="宋体" w:cs="宋体"/>
          <w:lang w:val="en-US" w:eastAsia="zh-CN"/>
        </w:rPr>
        <w:t>所、</w:t>
      </w:r>
      <w:r>
        <w:rPr>
          <w:rFonts w:hint="default" w:ascii="宋体" w:hAnsi="宋体" w:eastAsia="宋体" w:cs="宋体"/>
          <w:lang w:val="en-US" w:eastAsia="zh-CN"/>
        </w:rPr>
        <w:t>大商</w:t>
      </w:r>
      <w:r>
        <w:rPr>
          <w:rFonts w:hint="eastAsia" w:ascii="宋体" w:hAnsi="宋体" w:eastAsia="宋体" w:cs="宋体"/>
          <w:lang w:val="en-US" w:eastAsia="zh-CN"/>
        </w:rPr>
        <w:t>所、</w:t>
      </w:r>
      <w:r>
        <w:rPr>
          <w:rFonts w:hint="default" w:ascii="宋体" w:hAnsi="宋体" w:eastAsia="宋体" w:cs="宋体"/>
          <w:lang w:val="en-US" w:eastAsia="zh-CN"/>
        </w:rPr>
        <w:t>郑商</w:t>
      </w:r>
      <w:r>
        <w:rPr>
          <w:rFonts w:hint="eastAsia" w:ascii="宋体" w:hAnsi="宋体" w:eastAsia="宋体" w:cs="宋体"/>
          <w:lang w:val="en-US" w:eastAsia="zh-CN"/>
        </w:rPr>
        <w:t>所、</w:t>
      </w:r>
      <w:r>
        <w:rPr>
          <w:rFonts w:hint="default" w:ascii="宋体" w:hAnsi="宋体" w:eastAsia="宋体" w:cs="宋体"/>
          <w:lang w:val="en-US" w:eastAsia="zh-CN"/>
        </w:rPr>
        <w:t>上能源</w:t>
      </w:r>
      <w:r>
        <w:rPr>
          <w:rFonts w:hint="eastAsia" w:ascii="宋体" w:hAnsi="宋体" w:eastAsia="宋体" w:cs="宋体"/>
          <w:lang w:val="en-US" w:eastAsia="zh-CN"/>
        </w:rPr>
        <w:t>、</w:t>
      </w:r>
      <w:r>
        <w:rPr>
          <w:rFonts w:hint="default" w:ascii="宋体" w:hAnsi="宋体" w:eastAsia="宋体" w:cs="宋体"/>
          <w:lang w:val="en-US" w:eastAsia="zh-CN"/>
        </w:rPr>
        <w:t>上期</w:t>
      </w:r>
      <w:r>
        <w:rPr>
          <w:rFonts w:hint="eastAsia" w:ascii="宋体" w:hAnsi="宋体" w:eastAsia="宋体" w:cs="宋体"/>
          <w:lang w:val="en-US" w:eastAsia="zh-CN"/>
        </w:rPr>
        <w:t>所、</w:t>
      </w:r>
      <w:r>
        <w:rPr>
          <w:rFonts w:hint="default" w:ascii="宋体" w:hAnsi="宋体" w:eastAsia="宋体" w:cs="宋体"/>
          <w:lang w:val="en-US" w:eastAsia="zh-CN"/>
        </w:rPr>
        <w:t>广期</w:t>
      </w:r>
      <w:r>
        <w:rPr>
          <w:rFonts w:hint="eastAsia" w:ascii="宋体" w:hAnsi="宋体" w:eastAsia="宋体" w:cs="宋体"/>
          <w:lang w:val="en-US" w:eastAsia="zh-CN"/>
        </w:rPr>
        <w:t>所等六大交易所在内的所有期货品种任意组合，支持的套利类型包括：</w:t>
      </w:r>
    </w:p>
    <w:p w14:paraId="4DAC1605">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rPr>
        <mc:AlternateContent>
          <mc:Choice Requires="wps">
            <w:drawing>
              <wp:anchor distT="0" distB="0" distL="114300" distR="114300" simplePos="0" relativeHeight="251682816" behindDoc="1" locked="0" layoutInCell="1" allowOverlap="1">
                <wp:simplePos x="0" y="0"/>
                <wp:positionH relativeFrom="page">
                  <wp:posOffset>1143000</wp:posOffset>
                </wp:positionH>
                <wp:positionV relativeFrom="paragraph">
                  <wp:posOffset>0</wp:posOffset>
                </wp:positionV>
                <wp:extent cx="6350" cy="6350"/>
                <wp:effectExtent l="0" t="0" r="0" b="0"/>
                <wp:wrapNone/>
                <wp:docPr id="23" name="Freeform 104"/>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4" o:spid="_x0000_s1026" o:spt="100" style="position:absolute;left:0pt;margin-left:90pt;margin-top:0pt;height:0.5pt;width:0.5pt;mso-position-horizontal-relative:page;z-index:-251633664;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wt6bVAAAABgEAAA8AAAAAAAAAAQAgAAAAIgAAAGRycy9k&#10;b3ducmV2LnhtbFBLAQIUABQAAAAIAIdO4kCbkW2pPgIAAA8FAAAOAAAAAAAAAAEAIAAAACQ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1792" behindDoc="1" locked="0" layoutInCell="1" allowOverlap="1">
                <wp:simplePos x="0" y="0"/>
                <wp:positionH relativeFrom="page">
                  <wp:posOffset>1143000</wp:posOffset>
                </wp:positionH>
                <wp:positionV relativeFrom="paragraph">
                  <wp:posOffset>0</wp:posOffset>
                </wp:positionV>
                <wp:extent cx="6350" cy="6350"/>
                <wp:effectExtent l="0" t="0" r="0" b="0"/>
                <wp:wrapNone/>
                <wp:docPr id="27" name="Freeform 105"/>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5" o:spid="_x0000_s1026" o:spt="100" style="position:absolute;left:0pt;margin-left:90pt;margin-top:0pt;height:0.5pt;width:0.5pt;mso-position-horizontal-relative:page;z-index:-251634688;mso-width-relative:page;mso-height-relative:page;" fillcolor="#000000" filled="t" stroked="f" coordsize="6096,6096" o:gfxdata="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LC3ptUAAAAGAQAADwAAAAAAAAABACAAAAAiAAAAZHJzL2Rv&#10;d25yZXYueG1sUEsBAhQAFAAAAAgAh07iQMU2fLM9AgAADwUAAA4AAAAAAAAAAQAgAAAAJAEAAGRy&#10;cy9lMm9Eb2MueG1sUEsFBgAAAAAGAAYAWQEAANM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3840" behindDoc="1" locked="0" layoutInCell="1" allowOverlap="1">
                <wp:simplePos x="0" y="0"/>
                <wp:positionH relativeFrom="page">
                  <wp:posOffset>1950720</wp:posOffset>
                </wp:positionH>
                <wp:positionV relativeFrom="paragraph">
                  <wp:posOffset>0</wp:posOffset>
                </wp:positionV>
                <wp:extent cx="6350" cy="6350"/>
                <wp:effectExtent l="0" t="0" r="0" b="0"/>
                <wp:wrapNone/>
                <wp:docPr id="28" name="Freeform 106"/>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6" o:spid="_x0000_s1026" o:spt="100" style="position:absolute;left:0pt;margin-left:153.6pt;margin-top:0pt;height:0.5pt;width:0.5pt;mso-position-horizontal-relative:page;z-index:-251632640;mso-width-relative:page;mso-height-relative:page;" fillcolor="#000000" filled="t" stroked="f" coordsize="6096,6096" o:gfxdata="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AUHw/WAAAABgEAAA8AAAAAAAAAAQAgAAAAIgAAAGRycy9k&#10;b3ducmV2LnhtbFBLAQIUABQAAAAIAIdO4kC+EE05PQIAAA8FAAAOAAAAAAAAAAEAIAAAACU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5888" behindDoc="1" locked="0" layoutInCell="1" allowOverlap="1">
                <wp:simplePos x="0" y="0"/>
                <wp:positionH relativeFrom="page">
                  <wp:posOffset>3301365</wp:posOffset>
                </wp:positionH>
                <wp:positionV relativeFrom="paragraph">
                  <wp:posOffset>0</wp:posOffset>
                </wp:positionV>
                <wp:extent cx="6350" cy="6350"/>
                <wp:effectExtent l="0" t="0" r="0" b="0"/>
                <wp:wrapNone/>
                <wp:docPr id="29" name="Freeform 107"/>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7" o:spid="_x0000_s1026" o:spt="100" style="position:absolute;left:0pt;margin-left:259.95pt;margin-top:0pt;height:0.5pt;width:0.5pt;mso-position-horizontal-relative:page;z-index:-251630592;mso-width-relative:page;mso-height-relative:page;" fillcolor="#000000" filled="t" stroked="f" coordsize="6096,6096" o:gfxdata="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VG1/TWAAAABgEAAA8AAAAAAAAAAQAgAAAAIgAAAGRycy9k&#10;b3ducmV2LnhtbFBLAQIUABQAAAAIAIdO4kAK4SkUPQIAAA8FAAAOAAAAAAAAAAEAIAAAACUBAABk&#10;cnMvZTJvRG9jLnhtbFBLBQYAAAAABgAGAFkBAADUBQ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7936" behindDoc="1" locked="0" layoutInCell="1" allowOverlap="1">
                <wp:simplePos x="0" y="0"/>
                <wp:positionH relativeFrom="page">
                  <wp:posOffset>4544060</wp:posOffset>
                </wp:positionH>
                <wp:positionV relativeFrom="paragraph">
                  <wp:posOffset>0</wp:posOffset>
                </wp:positionV>
                <wp:extent cx="6350" cy="6350"/>
                <wp:effectExtent l="0" t="0" r="0" b="0"/>
                <wp:wrapNone/>
                <wp:docPr id="30" name="Freeform 108"/>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8" o:spid="_x0000_s1026" o:spt="100" style="position:absolute;left:0pt;margin-left:357.8pt;margin-top:0pt;height:0.5pt;width:0.5pt;mso-position-horizontal-relative:page;z-index:-251628544;mso-width-relative:page;mso-height-relative:page;" fillcolor="#000000" filled="t" stroked="f" coordsize="6096,6096" o:gfxdata="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8CGbdYAAAAGAQAADwAAAAAAAAABACAAAAAiAAAAZHJzL2Rv&#10;d25yZXYueG1sUEsBAhQAFAAAAAgAh07iQHHA5Y08AgAADwUAAA4AAAAAAAAAAQAgAAAAJQEAAGRy&#10;cy9lMm9Eb2MueG1sUEsFBgAAAAAGAAYAWQEAANMFA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9984" behindDoc="1" locked="0" layoutInCell="1" allowOverlap="1">
                <wp:simplePos x="0" y="0"/>
                <wp:positionH relativeFrom="page">
                  <wp:posOffset>6412865</wp:posOffset>
                </wp:positionH>
                <wp:positionV relativeFrom="paragraph">
                  <wp:posOffset>0</wp:posOffset>
                </wp:positionV>
                <wp:extent cx="6350" cy="6350"/>
                <wp:effectExtent l="0" t="0" r="0" b="0"/>
                <wp:wrapNone/>
                <wp:docPr id="31" name="Freeform 109"/>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9" o:spid="_x0000_s1026" o:spt="100" style="position:absolute;left:0pt;margin-left:504.95pt;margin-top:0pt;height:0.5pt;width:0.5pt;mso-position-horizontal-relative:page;z-index:-251626496;mso-width-relative:page;mso-height-relative:page;" fillcolor="#000000" filled="t" stroked="f" coordsize="6096,6096" o:gfxdata="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bA+t1gAAAAgBAAAPAAAAAAAAAAEAIAAAACIAAABkcnMv&#10;ZG93bnJldi54bWxQSwECFAAUAAAACACHTuJAxTGBoD4CAAAPBQAADgAAAAAAAAABACAAAAAlAQAA&#10;ZHJzL2Uyb0RvYy54bWxQSwUGAAAAAAYABgBZAQAA1QUAAAAA&#10;" path="m0,6096l6096,6096,6096,0,0,0,0,6096xe">
                <v:fill on="t" focussize="0,0"/>
                <v:stroke on="f" weight="1pt" miterlimit="8"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88960" behindDoc="1" locked="0" layoutInCell="1" allowOverlap="1">
                <wp:simplePos x="0" y="0"/>
                <wp:positionH relativeFrom="page">
                  <wp:posOffset>6412865</wp:posOffset>
                </wp:positionH>
                <wp:positionV relativeFrom="paragraph">
                  <wp:posOffset>0</wp:posOffset>
                </wp:positionV>
                <wp:extent cx="6350" cy="6350"/>
                <wp:effectExtent l="0" t="0" r="0" b="0"/>
                <wp:wrapNone/>
                <wp:docPr id="32" name="Freeform 110"/>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0" o:spid="_x0000_s1026" o:spt="100" style="position:absolute;left:0pt;margin-left:504.95pt;margin-top:0pt;height:0.5pt;width:0.5pt;mso-position-horizontal-relative:page;z-index:-251627520;mso-width-relative:page;mso-height-relative:page;" fillcolor="#000000" filled="t" stroked="f" coordsize="6096,6096" o:gfxdata="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bA+t1gAAAAgBAAAPAAAAAAAAAAEAIAAAACIAAABkcnMvZG93&#10;bnJldi54bWxQSwECFAAUAAAACACHTuJAxRKq5zsCAAAPBQAADgAAAAAAAAABACAAAAAlAQAAZHJz&#10;L2Uyb0RvYy54bWxQSwUGAAAAAAYABgBZAQAA0gUAAAAA&#10;" path="m0,6096l6096,6096,6096,0,0,0,0,6096xe">
                <v:fill on="t" focussize="0,0"/>
                <v:stroke on="f" weight="1pt" miterlimit="8" joinstyle="miter"/>
                <v:imagedata o:title=""/>
                <o:lock v:ext="edit" aspectratio="f"/>
              </v:shape>
            </w:pict>
          </mc:Fallback>
        </mc:AlternateContent>
      </w:r>
    </w:p>
    <w:tbl>
      <w:tblPr>
        <w:tblStyle w:val="21"/>
        <w:tblpPr w:vertAnchor="text" w:horzAnchor="page" w:tblpXSpec="center" w:tblpY="-270"/>
        <w:tblOverlap w:val="never"/>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3"/>
        <w:gridCol w:w="2992"/>
        <w:gridCol w:w="3613"/>
      </w:tblGrid>
      <w:tr w14:paraId="1676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403" w:type="dxa"/>
          </w:tcPr>
          <w:p w14:paraId="08050922">
            <w:pPr>
              <w:ind w:left="83"/>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类型</w:t>
            </w:r>
          </w:p>
        </w:tc>
        <w:tc>
          <w:tcPr>
            <w:tcW w:w="2992" w:type="dxa"/>
          </w:tcPr>
          <w:p w14:paraId="245CD93F">
            <w:pPr>
              <w:ind w:firstLine="113"/>
              <w:jc w:val="center"/>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说明</w:t>
            </w:r>
          </w:p>
        </w:tc>
        <w:tc>
          <w:tcPr>
            <w:tcW w:w="3613" w:type="dxa"/>
          </w:tcPr>
          <w:p w14:paraId="4F913C94">
            <w:pPr>
              <w:ind w:firstLine="113"/>
              <w:jc w:val="center"/>
              <w:rPr>
                <w:rFonts w:hint="eastAsia" w:ascii="宋体" w:hAnsi="宋体" w:eastAsia="宋体" w:cs="宋体"/>
                <w:b/>
                <w:bCs/>
                <w:color w:val="000000"/>
                <w:sz w:val="21"/>
                <w:szCs w:val="21"/>
                <w:u w:val="none"/>
                <w:lang w:val="en-US" w:eastAsia="zh-CN"/>
              </w:rPr>
            </w:pPr>
            <w:r>
              <w:rPr>
                <w:rFonts w:hint="eastAsia" w:ascii="宋体" w:hAnsi="宋体" w:eastAsia="宋体" w:cs="宋体"/>
                <w:b/>
                <w:bCs/>
                <w:color w:val="000000"/>
                <w:sz w:val="21"/>
                <w:szCs w:val="21"/>
                <w:u w:val="none"/>
                <w:lang w:val="en-US" w:eastAsia="zh-CN"/>
              </w:rPr>
              <w:t>举例</w:t>
            </w:r>
          </w:p>
        </w:tc>
      </w:tr>
      <w:tr w14:paraId="2625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403" w:type="dxa"/>
          </w:tcPr>
          <w:p w14:paraId="5DD58A77">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跨期套利</w:t>
            </w:r>
          </w:p>
        </w:tc>
        <w:tc>
          <w:tcPr>
            <w:tcW w:w="2992" w:type="dxa"/>
          </w:tcPr>
          <w:p w14:paraId="642DF076">
            <w:pPr>
              <w:ind w:firstLine="113"/>
              <w:jc w:val="center"/>
              <w:rPr>
                <w:rFonts w:hint="eastAsia" w:ascii="宋体" w:hAnsi="宋体" w:eastAsia="宋体" w:cs="宋体"/>
                <w:color w:val="010302"/>
              </w:rPr>
            </w:pPr>
            <w:r>
              <w:rPr>
                <w:rFonts w:hint="eastAsia" w:ascii="宋体" w:hAnsi="宋体" w:eastAsia="宋体" w:cs="宋体"/>
                <w:color w:val="000000"/>
                <w:sz w:val="21"/>
                <w:szCs w:val="21"/>
                <w:u w:val="none"/>
                <w:lang w:eastAsia="zh-CN"/>
              </w:rPr>
              <w:t>相同合约不同月份</w:t>
            </w:r>
          </w:p>
        </w:tc>
        <w:tc>
          <w:tcPr>
            <w:tcW w:w="3613" w:type="dxa"/>
          </w:tcPr>
          <w:p w14:paraId="516EDB06">
            <w:pPr>
              <w:ind w:firstLine="113"/>
              <w:jc w:val="center"/>
              <w:rPr>
                <w:rFonts w:hint="eastAsia" w:ascii="宋体" w:hAnsi="宋体" w:eastAsia="宋体" w:cs="宋体"/>
                <w:color w:val="010302"/>
              </w:rPr>
            </w:pPr>
            <w:r>
              <w:rPr>
                <w:rFonts w:hint="eastAsia" w:ascii="宋体" w:hAnsi="宋体" w:eastAsia="宋体" w:cs="宋体"/>
                <w:color w:val="000000"/>
                <w:sz w:val="21"/>
                <w:szCs w:val="21"/>
                <w:u w:val="none"/>
                <w:lang w:eastAsia="zh-CN"/>
              </w:rPr>
              <w:t>例：银2407-银2409</w:t>
            </w:r>
          </w:p>
        </w:tc>
      </w:tr>
      <w:tr w14:paraId="6942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403" w:type="dxa"/>
          </w:tcPr>
          <w:p w14:paraId="0D5ABC01">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跨品种套利</w:t>
            </w:r>
          </w:p>
        </w:tc>
        <w:tc>
          <w:tcPr>
            <w:tcW w:w="2992" w:type="dxa"/>
          </w:tcPr>
          <w:p w14:paraId="6CEB3C77">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lang w:eastAsia="zh-CN"/>
              </w:rPr>
              <w:t>互补性强的品种之间套利</w:t>
            </w:r>
          </w:p>
        </w:tc>
        <w:tc>
          <w:tcPr>
            <w:tcW w:w="3613" w:type="dxa"/>
          </w:tcPr>
          <w:p w14:paraId="7ADEE8A9">
            <w:pPr>
              <w:ind w:firstLine="113"/>
              <w:jc w:val="center"/>
              <w:rPr>
                <w:rFonts w:hint="eastAsia" w:ascii="宋体" w:hAnsi="宋体" w:eastAsia="宋体" w:cs="宋体"/>
                <w:color w:val="010302"/>
              </w:rPr>
            </w:pPr>
            <w:r>
              <w:rPr>
                <w:rFonts w:hint="eastAsia" w:ascii="宋体" w:hAnsi="宋体" w:eastAsia="宋体" w:cs="宋体"/>
                <w:color w:val="000000"/>
                <w:sz w:val="21"/>
                <w:szCs w:val="21"/>
                <w:lang w:eastAsia="zh-CN"/>
              </w:rPr>
              <w:t>例：玉米</w:t>
            </w:r>
            <w:r>
              <w:rPr>
                <w:rFonts w:hint="eastAsia" w:ascii="宋体" w:hAnsi="宋体" w:eastAsia="宋体" w:cs="宋体"/>
                <w:color w:val="000000"/>
                <w:sz w:val="21"/>
                <w:szCs w:val="21"/>
              </w:rPr>
              <w:t>2407-</w:t>
            </w:r>
            <w:r>
              <w:rPr>
                <w:rFonts w:hint="eastAsia" w:ascii="宋体" w:hAnsi="宋体" w:eastAsia="宋体" w:cs="宋体"/>
                <w:color w:val="000000"/>
                <w:sz w:val="21"/>
                <w:szCs w:val="21"/>
                <w:lang w:eastAsia="zh-CN"/>
              </w:rPr>
              <w:t>玉米淀粉</w:t>
            </w:r>
            <w:r>
              <w:rPr>
                <w:rFonts w:hint="eastAsia" w:ascii="宋体" w:hAnsi="宋体" w:eastAsia="宋体" w:cs="宋体"/>
                <w:color w:val="000000"/>
                <w:sz w:val="21"/>
                <w:szCs w:val="21"/>
              </w:rPr>
              <w:t>2407</w:t>
            </w:r>
          </w:p>
        </w:tc>
      </w:tr>
      <w:tr w14:paraId="5B2A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403" w:type="dxa"/>
          </w:tcPr>
          <w:p w14:paraId="21E7026F">
            <w:pPr>
              <w:ind w:left="83"/>
              <w:jc w:val="center"/>
              <w:rPr>
                <w:rFonts w:hint="eastAsia" w:ascii="宋体" w:hAnsi="宋体" w:eastAsia="宋体" w:cs="宋体"/>
                <w:color w:val="010302"/>
              </w:rPr>
            </w:pPr>
            <w:r>
              <w:rPr>
                <w:rFonts w:hint="eastAsia" w:ascii="宋体" w:hAnsi="宋体" w:eastAsia="宋体" w:cs="宋体"/>
                <w:color w:val="000000"/>
                <w:sz w:val="21"/>
                <w:szCs w:val="21"/>
                <w:lang w:eastAsia="zh-CN"/>
              </w:rPr>
              <w:t>跨市场套利</w:t>
            </w:r>
          </w:p>
        </w:tc>
        <w:tc>
          <w:tcPr>
            <w:tcW w:w="2992" w:type="dxa"/>
          </w:tcPr>
          <w:p w14:paraId="36550F0D">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u w:val="none"/>
                <w:lang w:eastAsia="zh-CN"/>
              </w:rPr>
              <w:t>不同交易市场之间的套利</w:t>
            </w:r>
          </w:p>
        </w:tc>
        <w:tc>
          <w:tcPr>
            <w:tcW w:w="3613" w:type="dxa"/>
          </w:tcPr>
          <w:p w14:paraId="782F3E6F">
            <w:pPr>
              <w:ind w:firstLine="113"/>
              <w:jc w:val="center"/>
              <w:rPr>
                <w:rFonts w:hint="eastAsia" w:ascii="宋体" w:hAnsi="宋体" w:eastAsia="宋体" w:cs="宋体"/>
                <w:color w:val="010302"/>
                <w:lang w:eastAsia="zh-CN"/>
              </w:rPr>
            </w:pPr>
            <w:r>
              <w:rPr>
                <w:rFonts w:hint="eastAsia" w:ascii="宋体" w:hAnsi="宋体" w:eastAsia="宋体" w:cs="宋体"/>
                <w:color w:val="000000"/>
                <w:sz w:val="21"/>
                <w:szCs w:val="21"/>
                <w:u w:val="none"/>
                <w:lang w:eastAsia="zh-CN"/>
              </w:rPr>
              <w:t>例：豆油2409-菜籽油2409</w:t>
            </w:r>
          </w:p>
        </w:tc>
      </w:tr>
    </w:tbl>
    <w:p w14:paraId="20A075B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套利组合构建</w:t>
      </w:r>
    </w:p>
    <w:p w14:paraId="592229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自选套利组合中会展示系统默认推荐的套利组合，支持构建新的套利组合，删除、修改已插入的套利组合。</w:t>
      </w:r>
    </w:p>
    <w:p w14:paraId="7289C9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套利组合构建：</w:t>
      </w:r>
      <w:r>
        <w:rPr>
          <w:rFonts w:hint="eastAsia" w:ascii="宋体" w:hAnsi="宋体" w:eastAsia="宋体" w:cs="宋体"/>
          <w:lang w:val="en-US" w:eastAsia="zh-CN"/>
        </w:rPr>
        <w:t>首先选择套利类型后，套利组合会出现当前推荐的组合类型，选定套利组合后，合约A和合约B分别展示选中标的组合对应月份的合约列表（已标记主力合约），选择具体标的后，下方展示所推荐的基差公式，例如：A.最新价-B.最新价，阈值数值默认为计算值*(1±20%)，可自定义数值。设置完阈值后点击插入，即可添加进自选套利组合中，组合选中后支持删除组合和修改阈值。</w:t>
      </w:r>
    </w:p>
    <w:p w14:paraId="41B49C3E">
      <w:pPr>
        <w:rPr>
          <w:rFonts w:hint="eastAsia" w:ascii="宋体" w:hAnsi="宋体" w:eastAsia="宋体" w:cs="宋体"/>
        </w:rPr>
      </w:pPr>
      <w:r>
        <w:drawing>
          <wp:inline distT="0" distB="0" distL="114300" distR="114300">
            <wp:extent cx="5266690" cy="2830830"/>
            <wp:effectExtent l="0" t="0" r="10160" b="762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84"/>
                    <a:stretch>
                      <a:fillRect/>
                    </a:stretch>
                  </pic:blipFill>
                  <pic:spPr>
                    <a:xfrm>
                      <a:off x="0" y="0"/>
                      <a:ext cx="5266690" cy="2830830"/>
                    </a:xfrm>
                    <a:prstGeom prst="rect">
                      <a:avLst/>
                    </a:prstGeom>
                    <a:noFill/>
                    <a:ln>
                      <a:noFill/>
                    </a:ln>
                  </pic:spPr>
                </pic:pic>
              </a:graphicData>
            </a:graphic>
          </wp:inline>
        </w:drawing>
      </w:r>
    </w:p>
    <w:p w14:paraId="624FF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基差公式</w:t>
      </w:r>
      <w:r>
        <w:rPr>
          <w:rFonts w:hint="eastAsia" w:ascii="宋体" w:hAnsi="宋体" w:eastAsia="宋体" w:cs="宋体"/>
          <w:lang w:val="en-US" w:eastAsia="zh-CN"/>
        </w:rPr>
        <w:t>：支持小数和整数，委托价支持买一价，卖一价，最新价，买方盘口均价（盘口深度N档加权平均价），卖方盘口均价（盘口深度N档加权平均价）及特定符号（加，减，乘，除，括号和实行点号），输入方式为“标的序号.价格类型”，例如：A.最新价-B.最新价*1.5/2。</w:t>
      </w:r>
    </w:p>
    <w:p w14:paraId="2C5389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方向</w:t>
      </w:r>
      <w:r>
        <w:rPr>
          <w:rFonts w:hint="eastAsia" w:ascii="宋体" w:hAnsi="宋体" w:eastAsia="宋体" w:cs="宋体"/>
          <w:lang w:val="en-US" w:eastAsia="zh-CN"/>
        </w:rPr>
        <w:t>：方向为选择框，提供“＞，≥，＝，＜，≤” 5个选项。</w:t>
      </w:r>
    </w:p>
    <w:p w14:paraId="24C0C3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阈值</w:t>
      </w:r>
      <w:r>
        <w:rPr>
          <w:rFonts w:hint="eastAsia" w:ascii="宋体" w:hAnsi="宋体" w:eastAsia="宋体" w:cs="宋体"/>
          <w:lang w:val="en-US" w:eastAsia="zh-CN"/>
        </w:rPr>
        <w:t>：整数位需小于等于11位，小数位需小于等于4位。</w:t>
      </w:r>
    </w:p>
    <w:p w14:paraId="048540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基差公式下方提示：</w:t>
      </w:r>
    </w:p>
    <w:p w14:paraId="096EE9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输入基差公式后点击“刷新”按钮可查看推荐阈值。</w:t>
      </w:r>
    </w:p>
    <w:p w14:paraId="10C25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当基差公式中分母为0时，不计算基差值，没有默认推荐阈值，不会触发阈值。</w:t>
      </w:r>
    </w:p>
    <w:p w14:paraId="11CDE4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宋体" w:hAnsi="宋体" w:eastAsia="宋体" w:cs="宋体"/>
          <w:lang w:val="en-US" w:eastAsia="zh-CN"/>
        </w:rPr>
      </w:pPr>
      <w:r>
        <w:rPr>
          <w:rFonts w:hint="eastAsia" w:ascii="宋体" w:hAnsi="宋体" w:eastAsia="宋体" w:cs="宋体"/>
          <w:b/>
          <w:bCs/>
          <w:lang w:val="en-US" w:eastAsia="zh-CN"/>
        </w:rPr>
        <w:t>插入</w:t>
      </w:r>
      <w:r>
        <w:rPr>
          <w:rFonts w:hint="eastAsia" w:ascii="宋体" w:hAnsi="宋体" w:eastAsia="宋体" w:cs="宋体"/>
          <w:lang w:val="en-US" w:eastAsia="zh-CN"/>
        </w:rPr>
        <w:t>：点击可将设置好的组合添加至自选套利组合列表。</w:t>
      </w:r>
    </w:p>
    <w:p w14:paraId="1E3C28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删除</w:t>
      </w:r>
      <w:r>
        <w:rPr>
          <w:rFonts w:hint="eastAsia" w:ascii="宋体" w:hAnsi="宋体" w:eastAsia="宋体" w:cs="宋体"/>
          <w:lang w:val="en-US" w:eastAsia="zh-CN"/>
        </w:rPr>
        <w:t>：选中一条自选套利组合后，点击“删除”可删除监控中合约组合。</w:t>
      </w:r>
    </w:p>
    <w:p w14:paraId="2DD7D9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修改</w:t>
      </w:r>
      <w:r>
        <w:rPr>
          <w:rFonts w:hint="eastAsia" w:ascii="宋体" w:hAnsi="宋体" w:eastAsia="宋体" w:cs="宋体"/>
          <w:lang w:val="en-US" w:eastAsia="zh-CN"/>
        </w:rPr>
        <w:t>：选中一条自选套利组合后，可重新编辑基差公式，方向和阈值（请注意仅支持修改基差公式），然后点击“修改”生效。</w:t>
      </w:r>
    </w:p>
    <w:p w14:paraId="3E73F7E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套利雷达</w:t>
      </w:r>
    </w:p>
    <w:p w14:paraId="48D908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套利雷达界面展示套利组合构建页面设置好的合约组合基差监控，5*5展示组合合约名称和价差（系统默认推荐当前市场热点套利组合）。</w:t>
      </w:r>
    </w:p>
    <w:p w14:paraId="1C308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若价差为正，价差背景为红色，价差为负，价差背景为绿色，价差为0或空，价差背景为灰色（右上角提供了图示说明）。</w:t>
      </w:r>
    </w:p>
    <w:p w14:paraId="0D4D3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若价差处于设置的阈值范围，监控中的合约组合橘色闪烁提醒。</w:t>
      </w:r>
    </w:p>
    <w:p w14:paraId="6599CC01">
      <w:pPr>
        <w:rPr>
          <w:rFonts w:hint="eastAsia" w:asciiTheme="minorEastAsia" w:hAnsiTheme="minorEastAsia"/>
          <w:sz w:val="21"/>
          <w:szCs w:val="21"/>
          <w:lang w:eastAsia="zh-CN"/>
        </w:rPr>
      </w:pPr>
      <w:r>
        <w:drawing>
          <wp:inline distT="0" distB="0" distL="114300" distR="114300">
            <wp:extent cx="5266690" cy="2830830"/>
            <wp:effectExtent l="0" t="0" r="10160"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5"/>
                    <a:stretch>
                      <a:fillRect/>
                    </a:stretch>
                  </pic:blipFill>
                  <pic:spPr>
                    <a:xfrm>
                      <a:off x="0" y="0"/>
                      <a:ext cx="5266690" cy="2830830"/>
                    </a:xfrm>
                    <a:prstGeom prst="rect">
                      <a:avLst/>
                    </a:prstGeom>
                    <a:noFill/>
                    <a:ln>
                      <a:noFill/>
                    </a:ln>
                  </pic:spPr>
                </pic:pic>
              </a:graphicData>
            </a:graphic>
          </wp:inline>
        </w:drawing>
      </w:r>
    </w:p>
    <w:p w14:paraId="2B1A285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4"/>
          <w:szCs w:val="24"/>
          <w:lang w:val="en-US" w:eastAsia="zh-CN"/>
        </w:rPr>
      </w:pPr>
      <w:bookmarkStart w:id="27" w:name="_Toc13818"/>
      <w:r>
        <w:rPr>
          <w:rFonts w:hint="eastAsia" w:ascii="宋体" w:hAnsi="宋体" w:eastAsia="宋体" w:cs="宋体"/>
          <w:sz w:val="24"/>
          <w:szCs w:val="24"/>
          <w:lang w:val="en-US" w:eastAsia="zh-CN"/>
        </w:rPr>
        <w:t>多品种套利申请</w:t>
      </w:r>
      <w:bookmarkEnd w:id="27"/>
    </w:p>
    <w:p w14:paraId="53F60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多品种套利申请功能界面展示多品种套利交易相关产品介绍和申请使用按钮。</w:t>
      </w:r>
    </w:p>
    <w:p w14:paraId="31995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交易-交易界面-套利交易-多品种套利申请，可进入多品种套利介绍界面，主要介绍套利的本质、常见难点、多品种套利解决方案及优势等内容，页面底部显示相关联系方式（微信号、QQ号、邮箱）、申请使用流程及申请使用按钮。如图：</w:t>
      </w:r>
    </w:p>
    <w:p w14:paraId="3F2C8A0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86"/>
                    <a:stretch>
                      <a:fillRect/>
                    </a:stretch>
                  </pic:blipFill>
                  <pic:spPr>
                    <a:xfrm>
                      <a:off x="0" y="0"/>
                      <a:ext cx="5266690" cy="2830830"/>
                    </a:xfrm>
                    <a:prstGeom prst="rect">
                      <a:avLst/>
                    </a:prstGeom>
                    <a:noFill/>
                    <a:ln>
                      <a:noFill/>
                    </a:ln>
                  </pic:spPr>
                </pic:pic>
              </a:graphicData>
            </a:graphic>
          </wp:inline>
        </w:drawing>
      </w:r>
    </w:p>
    <w:p w14:paraId="772DDD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页面底部可申请试用，点进申请流程下“申请试用”或底部申请试用按钮，弹框提示“申请成功，请耐心等待”。具体流程如下：</w:t>
      </w:r>
    </w:p>
    <w:p w14:paraId="728A9CA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drawing>
          <wp:inline distT="0" distB="0" distL="114300" distR="114300">
            <wp:extent cx="5266690" cy="2830830"/>
            <wp:effectExtent l="0" t="0" r="10160" b="762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87"/>
                    <a:stretch>
                      <a:fillRect/>
                    </a:stretch>
                  </pic:blipFill>
                  <pic:spPr>
                    <a:xfrm>
                      <a:off x="0" y="0"/>
                      <a:ext cx="5266690" cy="2830830"/>
                    </a:xfrm>
                    <a:prstGeom prst="rect">
                      <a:avLst/>
                    </a:prstGeom>
                    <a:noFill/>
                    <a:ln>
                      <a:noFill/>
                    </a:ln>
                  </pic:spPr>
                </pic:pic>
              </a:graphicData>
            </a:graphic>
          </wp:inline>
        </w:drawing>
      </w:r>
    </w:p>
    <w:p w14:paraId="71009DC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4"/>
          <w:szCs w:val="24"/>
          <w:lang w:val="en-US" w:eastAsia="zh-CN"/>
        </w:rPr>
      </w:pPr>
      <w:bookmarkStart w:id="28" w:name="_Toc19637"/>
      <w:r>
        <w:rPr>
          <w:rFonts w:hint="eastAsia" w:ascii="宋体" w:hAnsi="宋体" w:eastAsia="宋体" w:cs="宋体"/>
          <w:sz w:val="24"/>
          <w:szCs w:val="24"/>
          <w:lang w:val="en-US" w:eastAsia="zh-CN"/>
        </w:rPr>
        <w:t>多品种套利</w:t>
      </w:r>
      <w:bookmarkEnd w:id="28"/>
    </w:p>
    <w:p w14:paraId="1A9ED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多品种套利功能模块为投资者提供跨期、跨品种、跨市场套利的解决方案，该模块通过对套利机会和套利逻辑的全自动监控和执行,有效解决人工盯盘“范围小、效率低”的痛点，助力投资者扩大盯盘范围并提升套利效率。</w:t>
      </w:r>
      <w:r>
        <w:rPr>
          <w:rFonts w:hint="eastAsia" w:ascii="宋体" w:hAnsi="宋体" w:eastAsia="宋体" w:cs="宋体"/>
          <w:lang w:val="en-US" w:eastAsia="zh-CN"/>
        </w:rPr>
        <w:t>对品种套利功能默认不对客户开发，客户需申请开通后才可使用该功能。</w:t>
      </w:r>
    </w:p>
    <w:p w14:paraId="3793BD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多品种套利功能模块支持的交易所、品种以及交易方向如下：</w:t>
      </w:r>
    </w:p>
    <w:tbl>
      <w:tblPr>
        <w:tblStyle w:val="21"/>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3"/>
        <w:gridCol w:w="3256"/>
        <w:gridCol w:w="2083"/>
        <w:gridCol w:w="1679"/>
      </w:tblGrid>
      <w:tr w14:paraId="5D54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tcPr>
          <w:p w14:paraId="3DB162CE">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资产账号</w:t>
            </w:r>
          </w:p>
        </w:tc>
        <w:tc>
          <w:tcPr>
            <w:tcW w:w="3256" w:type="dxa"/>
          </w:tcPr>
          <w:p w14:paraId="59283B99">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交易所</w:t>
            </w:r>
          </w:p>
        </w:tc>
        <w:tc>
          <w:tcPr>
            <w:tcW w:w="2083" w:type="dxa"/>
          </w:tcPr>
          <w:p w14:paraId="77833059">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品种</w:t>
            </w:r>
          </w:p>
        </w:tc>
        <w:tc>
          <w:tcPr>
            <w:tcW w:w="1679" w:type="dxa"/>
          </w:tcPr>
          <w:p w14:paraId="7EE2C961">
            <w:pPr>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交易方向</w:t>
            </w:r>
          </w:p>
        </w:tc>
      </w:tr>
      <w:tr w14:paraId="3693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0E232B3C">
            <w:pPr>
              <w:jc w:val="center"/>
              <w:rPr>
                <w:rFonts w:asciiTheme="minorEastAsia" w:hAnsiTheme="minorEastAsia"/>
                <w:sz w:val="21"/>
                <w:szCs w:val="21"/>
                <w:lang w:eastAsia="zh-CN"/>
              </w:rPr>
            </w:pP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p>
        </w:tc>
        <w:tc>
          <w:tcPr>
            <w:tcW w:w="3256" w:type="dxa"/>
            <w:vAlign w:val="center"/>
          </w:tcPr>
          <w:p w14:paraId="763E55BD">
            <w:pPr>
              <w:jc w:val="center"/>
              <w:rPr>
                <w:rFonts w:asciiTheme="minorEastAsia" w:hAnsiTheme="minorEastAsia"/>
                <w:sz w:val="21"/>
                <w:szCs w:val="21"/>
                <w:lang w:eastAsia="zh-CN"/>
              </w:rPr>
            </w:pPr>
            <w:r>
              <w:rPr>
                <w:rFonts w:hint="eastAsia" w:asciiTheme="minorEastAsia" w:hAnsiTheme="minorEastAsia"/>
                <w:sz w:val="21"/>
                <w:szCs w:val="21"/>
                <w:lang w:eastAsia="zh-CN"/>
              </w:rPr>
              <w:t>上交所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深交所</w:t>
            </w:r>
          </w:p>
        </w:tc>
        <w:tc>
          <w:tcPr>
            <w:tcW w:w="2083" w:type="dxa"/>
            <w:vAlign w:val="center"/>
          </w:tcPr>
          <w:p w14:paraId="506C35A9">
            <w:pPr>
              <w:jc w:val="center"/>
              <w:rPr>
                <w:rFonts w:asciiTheme="minorEastAsia" w:hAnsiTheme="minorEastAsia"/>
                <w:sz w:val="21"/>
                <w:szCs w:val="21"/>
                <w:lang w:eastAsia="zh-CN"/>
              </w:rPr>
            </w:pPr>
            <w:r>
              <w:rPr>
                <w:rFonts w:hint="eastAsia" w:asciiTheme="minorEastAsia" w:hAnsiTheme="minorEastAsia"/>
                <w:sz w:val="21"/>
                <w:szCs w:val="21"/>
                <w:lang w:eastAsia="zh-CN"/>
              </w:rPr>
              <w:t>E</w:t>
            </w:r>
            <w:r>
              <w:rPr>
                <w:rFonts w:asciiTheme="minorEastAsia" w:hAnsiTheme="minorEastAsia"/>
                <w:sz w:val="21"/>
                <w:szCs w:val="21"/>
                <w:lang w:eastAsia="zh-CN"/>
              </w:rPr>
              <w:t>TF</w:t>
            </w:r>
          </w:p>
        </w:tc>
        <w:tc>
          <w:tcPr>
            <w:tcW w:w="1679" w:type="dxa"/>
            <w:vAlign w:val="center"/>
          </w:tcPr>
          <w:p w14:paraId="625373ED">
            <w:pPr>
              <w:jc w:val="center"/>
              <w:rPr>
                <w:rFonts w:asciiTheme="minorEastAsia" w:hAnsiTheme="minorEastAsia"/>
                <w:sz w:val="21"/>
                <w:szCs w:val="21"/>
                <w:lang w:eastAsia="zh-CN"/>
              </w:rPr>
            </w:pPr>
            <w:r>
              <w:rPr>
                <w:rFonts w:hint="eastAsia" w:asciiTheme="minorEastAsia" w:hAnsiTheme="minorEastAsia"/>
                <w:sz w:val="21"/>
                <w:szCs w:val="21"/>
                <w:lang w:eastAsia="zh-CN"/>
              </w:rPr>
              <w:t>买入、卖出</w:t>
            </w:r>
          </w:p>
        </w:tc>
      </w:tr>
      <w:tr w14:paraId="75BC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448FC079">
            <w:pPr>
              <w:jc w:val="center"/>
              <w:rPr>
                <w:rFonts w:asciiTheme="minorEastAsia" w:hAnsiTheme="minorEastAsia"/>
                <w:sz w:val="21"/>
                <w:szCs w:val="21"/>
                <w:lang w:eastAsia="zh-CN"/>
              </w:rPr>
            </w:pPr>
            <w:r>
              <w:rPr>
                <w:rFonts w:hint="eastAsia" w:asciiTheme="minorEastAsia" w:hAnsiTheme="minorEastAsia"/>
                <w:sz w:val="21"/>
                <w:szCs w:val="21"/>
                <w:lang w:val="en-US" w:eastAsia="zh-CN"/>
              </w:rPr>
              <w:t>证券</w:t>
            </w:r>
            <w:r>
              <w:rPr>
                <w:rFonts w:hint="eastAsia" w:asciiTheme="minorEastAsia" w:hAnsiTheme="minorEastAsia"/>
                <w:sz w:val="21"/>
                <w:szCs w:val="21"/>
                <w:lang w:eastAsia="zh-CN"/>
              </w:rPr>
              <w:t>期权账号</w:t>
            </w:r>
          </w:p>
        </w:tc>
        <w:tc>
          <w:tcPr>
            <w:tcW w:w="3256" w:type="dxa"/>
            <w:vAlign w:val="center"/>
          </w:tcPr>
          <w:p w14:paraId="068655CE">
            <w:pPr>
              <w:jc w:val="center"/>
              <w:rPr>
                <w:rFonts w:asciiTheme="minorEastAsia" w:hAnsiTheme="minorEastAsia"/>
                <w:sz w:val="21"/>
                <w:szCs w:val="21"/>
                <w:lang w:eastAsia="zh-CN"/>
              </w:rPr>
            </w:pPr>
            <w:r>
              <w:rPr>
                <w:rFonts w:hint="eastAsia" w:asciiTheme="minorEastAsia" w:hAnsiTheme="minorEastAsia"/>
                <w:sz w:val="21"/>
                <w:szCs w:val="21"/>
                <w:lang w:eastAsia="zh-CN"/>
              </w:rPr>
              <w:t>上交所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深交所</w:t>
            </w:r>
          </w:p>
        </w:tc>
        <w:tc>
          <w:tcPr>
            <w:tcW w:w="2083" w:type="dxa"/>
            <w:vAlign w:val="center"/>
          </w:tcPr>
          <w:p w14:paraId="7A2F0C41">
            <w:pPr>
              <w:jc w:val="center"/>
              <w:rPr>
                <w:rFonts w:asciiTheme="minorEastAsia" w:hAnsiTheme="minorEastAsia"/>
                <w:sz w:val="21"/>
                <w:szCs w:val="21"/>
                <w:lang w:eastAsia="zh-CN"/>
              </w:rPr>
            </w:pPr>
            <w:r>
              <w:rPr>
                <w:rFonts w:hint="eastAsia" w:asciiTheme="minorEastAsia" w:hAnsiTheme="minorEastAsia"/>
                <w:sz w:val="21"/>
                <w:szCs w:val="21"/>
                <w:lang w:eastAsia="zh-CN"/>
              </w:rPr>
              <w:t>E</w:t>
            </w:r>
            <w:r>
              <w:rPr>
                <w:rFonts w:asciiTheme="minorEastAsia" w:hAnsiTheme="minorEastAsia"/>
                <w:sz w:val="21"/>
                <w:szCs w:val="21"/>
                <w:lang w:eastAsia="zh-CN"/>
              </w:rPr>
              <w:t>TF</w:t>
            </w:r>
            <w:r>
              <w:rPr>
                <w:rFonts w:hint="eastAsia" w:asciiTheme="minorEastAsia" w:hAnsiTheme="minorEastAsia"/>
                <w:sz w:val="21"/>
                <w:szCs w:val="21"/>
                <w:lang w:eastAsia="zh-CN"/>
              </w:rPr>
              <w:t>期权</w:t>
            </w:r>
          </w:p>
        </w:tc>
        <w:tc>
          <w:tcPr>
            <w:tcW w:w="1679" w:type="dxa"/>
            <w:vAlign w:val="center"/>
          </w:tcPr>
          <w:p w14:paraId="70252079">
            <w:pPr>
              <w:jc w:val="center"/>
              <w:rPr>
                <w:rFonts w:asciiTheme="minorEastAsia" w:hAnsiTheme="minorEastAsia"/>
                <w:sz w:val="21"/>
                <w:szCs w:val="21"/>
                <w:lang w:eastAsia="zh-CN"/>
              </w:rPr>
            </w:pPr>
            <w:r>
              <w:rPr>
                <w:rFonts w:hint="eastAsia" w:asciiTheme="minorEastAsia" w:hAnsiTheme="minorEastAsia"/>
                <w:sz w:val="21"/>
                <w:szCs w:val="21"/>
                <w:lang w:eastAsia="zh-CN"/>
              </w:rPr>
              <w:t>买开、卖开</w:t>
            </w:r>
          </w:p>
          <w:p w14:paraId="07B9D2F8">
            <w:pPr>
              <w:jc w:val="center"/>
              <w:rPr>
                <w:rFonts w:asciiTheme="minorEastAsia" w:hAnsiTheme="minorEastAsia"/>
                <w:sz w:val="21"/>
                <w:szCs w:val="21"/>
                <w:lang w:eastAsia="zh-CN"/>
              </w:rPr>
            </w:pPr>
            <w:r>
              <w:rPr>
                <w:rFonts w:hint="eastAsia" w:asciiTheme="minorEastAsia" w:hAnsiTheme="minorEastAsia"/>
                <w:sz w:val="21"/>
                <w:szCs w:val="21"/>
                <w:lang w:eastAsia="zh-CN"/>
              </w:rPr>
              <w:t>买平、卖平</w:t>
            </w:r>
          </w:p>
        </w:tc>
      </w:tr>
      <w:tr w14:paraId="2EDE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Align w:val="center"/>
          </w:tcPr>
          <w:p w14:paraId="4963D5AC">
            <w:pPr>
              <w:jc w:val="center"/>
              <w:rPr>
                <w:rFonts w:asciiTheme="minorEastAsia" w:hAnsiTheme="minorEastAsia"/>
                <w:sz w:val="21"/>
                <w:szCs w:val="21"/>
                <w:lang w:eastAsia="zh-CN"/>
              </w:rPr>
            </w:pPr>
            <w:r>
              <w:rPr>
                <w:rFonts w:hint="eastAsia" w:asciiTheme="minorEastAsia" w:hAnsiTheme="minorEastAsia"/>
                <w:sz w:val="21"/>
                <w:szCs w:val="21"/>
                <w:lang w:eastAsia="zh-CN"/>
              </w:rPr>
              <w:t>期货账号</w:t>
            </w:r>
          </w:p>
        </w:tc>
        <w:tc>
          <w:tcPr>
            <w:tcW w:w="3256" w:type="dxa"/>
            <w:vAlign w:val="center"/>
          </w:tcPr>
          <w:p w14:paraId="1609122F">
            <w:pPr>
              <w:jc w:val="center"/>
              <w:rPr>
                <w:rFonts w:asciiTheme="minorEastAsia" w:hAnsiTheme="minorEastAsia"/>
                <w:sz w:val="21"/>
                <w:szCs w:val="21"/>
                <w:lang w:eastAsia="zh-CN"/>
              </w:rPr>
            </w:pPr>
            <w:r>
              <w:rPr>
                <w:rFonts w:hint="eastAsia" w:asciiTheme="minorEastAsia" w:hAnsiTheme="minorEastAsia"/>
                <w:sz w:val="21"/>
                <w:szCs w:val="21"/>
                <w:lang w:eastAsia="zh-CN"/>
              </w:rPr>
              <w:t>中金所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上期所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上能源</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大商所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郑商所</w:t>
            </w:r>
            <w:r>
              <w:rPr>
                <w:rFonts w:hint="eastAsia" w:asciiTheme="minorEastAsia" w:hAnsiTheme="minorEastAsia"/>
                <w:sz w:val="21"/>
                <w:szCs w:val="21"/>
                <w:lang w:val="en-US" w:eastAsia="zh-CN"/>
              </w:rPr>
              <w:t>/</w:t>
            </w:r>
            <w:r>
              <w:rPr>
                <w:rFonts w:hint="eastAsia" w:asciiTheme="minorEastAsia" w:hAnsiTheme="minorEastAsia"/>
                <w:sz w:val="21"/>
                <w:szCs w:val="21"/>
                <w:lang w:eastAsia="zh-CN"/>
              </w:rPr>
              <w:t>广期所</w:t>
            </w:r>
          </w:p>
        </w:tc>
        <w:tc>
          <w:tcPr>
            <w:tcW w:w="2083" w:type="dxa"/>
            <w:vAlign w:val="center"/>
          </w:tcPr>
          <w:p w14:paraId="750B61B9">
            <w:pPr>
              <w:jc w:val="center"/>
              <w:rPr>
                <w:rFonts w:asciiTheme="minorEastAsia" w:hAnsiTheme="minorEastAsia"/>
                <w:sz w:val="21"/>
                <w:szCs w:val="21"/>
                <w:lang w:eastAsia="zh-CN"/>
              </w:rPr>
            </w:pPr>
            <w:r>
              <w:rPr>
                <w:rFonts w:hint="eastAsia" w:asciiTheme="minorEastAsia" w:hAnsiTheme="minorEastAsia"/>
                <w:sz w:val="21"/>
                <w:szCs w:val="21"/>
                <w:lang w:eastAsia="zh-CN"/>
              </w:rPr>
              <w:t>股指期货、</w:t>
            </w:r>
            <w:r>
              <w:rPr>
                <w:rFonts w:hint="eastAsia" w:asciiTheme="minorEastAsia" w:hAnsiTheme="minorEastAsia"/>
                <w:sz w:val="21"/>
                <w:szCs w:val="21"/>
                <w:lang w:val="en-US" w:eastAsia="zh-CN"/>
              </w:rPr>
              <w:t>国债期货、</w:t>
            </w:r>
            <w:r>
              <w:rPr>
                <w:rFonts w:hint="eastAsia" w:asciiTheme="minorEastAsia" w:hAnsiTheme="minorEastAsia"/>
                <w:sz w:val="21"/>
                <w:szCs w:val="21"/>
                <w:lang w:eastAsia="zh-CN"/>
              </w:rPr>
              <w:t>商品期货</w:t>
            </w:r>
          </w:p>
        </w:tc>
        <w:tc>
          <w:tcPr>
            <w:tcW w:w="1679" w:type="dxa"/>
            <w:vAlign w:val="center"/>
          </w:tcPr>
          <w:p w14:paraId="56385C02">
            <w:pPr>
              <w:jc w:val="center"/>
              <w:rPr>
                <w:rFonts w:asciiTheme="minorEastAsia" w:hAnsiTheme="minorEastAsia"/>
                <w:sz w:val="21"/>
                <w:szCs w:val="21"/>
                <w:lang w:eastAsia="zh-CN"/>
              </w:rPr>
            </w:pPr>
            <w:r>
              <w:rPr>
                <w:rFonts w:hint="eastAsia" w:asciiTheme="minorEastAsia" w:hAnsiTheme="minorEastAsia"/>
                <w:sz w:val="21"/>
                <w:szCs w:val="21"/>
                <w:lang w:eastAsia="zh-CN"/>
              </w:rPr>
              <w:t>买开、卖开</w:t>
            </w:r>
          </w:p>
          <w:p w14:paraId="3D0D5C33">
            <w:pPr>
              <w:jc w:val="center"/>
              <w:rPr>
                <w:rFonts w:asciiTheme="minorEastAsia" w:hAnsiTheme="minorEastAsia"/>
                <w:sz w:val="21"/>
                <w:szCs w:val="21"/>
                <w:lang w:eastAsia="zh-CN"/>
              </w:rPr>
            </w:pPr>
            <w:r>
              <w:rPr>
                <w:rFonts w:hint="eastAsia" w:asciiTheme="minorEastAsia" w:hAnsiTheme="minorEastAsia"/>
                <w:sz w:val="21"/>
                <w:szCs w:val="21"/>
                <w:lang w:eastAsia="zh-CN"/>
              </w:rPr>
              <w:t>买平、卖平</w:t>
            </w:r>
          </w:p>
          <w:p w14:paraId="6E9573B4">
            <w:pPr>
              <w:jc w:val="center"/>
              <w:rPr>
                <w:rFonts w:asciiTheme="minorEastAsia" w:hAnsiTheme="minorEastAsia"/>
                <w:sz w:val="21"/>
                <w:szCs w:val="21"/>
                <w:lang w:eastAsia="zh-CN"/>
              </w:rPr>
            </w:pPr>
            <w:r>
              <w:rPr>
                <w:rFonts w:hint="eastAsia" w:asciiTheme="minorEastAsia" w:hAnsiTheme="minorEastAsia"/>
                <w:sz w:val="21"/>
                <w:szCs w:val="21"/>
                <w:lang w:eastAsia="zh-CN"/>
              </w:rPr>
              <w:t>买平(优先平今</w:t>
            </w:r>
            <w:r>
              <w:rPr>
                <w:rFonts w:asciiTheme="minorEastAsia" w:hAnsiTheme="minorEastAsia"/>
                <w:sz w:val="21"/>
                <w:szCs w:val="21"/>
                <w:lang w:eastAsia="zh-CN"/>
              </w:rPr>
              <w:t>)</w:t>
            </w:r>
          </w:p>
          <w:p w14:paraId="50B0EF71">
            <w:pPr>
              <w:jc w:val="center"/>
              <w:rPr>
                <w:rFonts w:asciiTheme="minorEastAsia" w:hAnsiTheme="minorEastAsia"/>
                <w:sz w:val="21"/>
                <w:szCs w:val="21"/>
                <w:lang w:eastAsia="zh-CN"/>
              </w:rPr>
            </w:pPr>
            <w:r>
              <w:rPr>
                <w:rFonts w:hint="eastAsia" w:asciiTheme="minorEastAsia" w:hAnsiTheme="minorEastAsia"/>
                <w:sz w:val="21"/>
                <w:szCs w:val="21"/>
                <w:lang w:eastAsia="zh-CN"/>
              </w:rPr>
              <w:t>卖平(优先平今</w:t>
            </w:r>
            <w:r>
              <w:rPr>
                <w:rFonts w:asciiTheme="minorEastAsia" w:hAnsiTheme="minorEastAsia"/>
                <w:sz w:val="21"/>
                <w:szCs w:val="21"/>
                <w:lang w:eastAsia="zh-CN"/>
              </w:rPr>
              <w:t>)</w:t>
            </w:r>
          </w:p>
          <w:p w14:paraId="29C2F2CA">
            <w:pPr>
              <w:jc w:val="center"/>
              <w:rPr>
                <w:rFonts w:asciiTheme="minorEastAsia" w:hAnsiTheme="minorEastAsia"/>
                <w:sz w:val="21"/>
                <w:szCs w:val="21"/>
                <w:lang w:eastAsia="zh-CN"/>
              </w:rPr>
            </w:pPr>
            <w:r>
              <w:rPr>
                <w:rFonts w:hint="eastAsia" w:asciiTheme="minorEastAsia" w:hAnsiTheme="minorEastAsia"/>
                <w:sz w:val="21"/>
                <w:szCs w:val="21"/>
                <w:lang w:eastAsia="zh-CN"/>
              </w:rPr>
              <w:t>买平(优先平</w:t>
            </w:r>
            <w:r>
              <w:rPr>
                <w:rFonts w:hint="eastAsia" w:asciiTheme="minorEastAsia" w:hAnsiTheme="minorEastAsia"/>
                <w:sz w:val="21"/>
                <w:szCs w:val="21"/>
                <w:lang w:val="en-US" w:eastAsia="zh-CN"/>
              </w:rPr>
              <w:t>昨</w:t>
            </w:r>
            <w:r>
              <w:rPr>
                <w:rFonts w:asciiTheme="minorEastAsia" w:hAnsiTheme="minorEastAsia"/>
                <w:sz w:val="21"/>
                <w:szCs w:val="21"/>
                <w:lang w:eastAsia="zh-CN"/>
              </w:rPr>
              <w:t>)</w:t>
            </w:r>
          </w:p>
          <w:p w14:paraId="4B106873">
            <w:pPr>
              <w:jc w:val="center"/>
              <w:rPr>
                <w:rFonts w:asciiTheme="minorEastAsia" w:hAnsiTheme="minorEastAsia"/>
                <w:sz w:val="21"/>
                <w:szCs w:val="21"/>
                <w:lang w:eastAsia="zh-CN"/>
              </w:rPr>
            </w:pPr>
            <w:r>
              <w:rPr>
                <w:rFonts w:hint="eastAsia" w:asciiTheme="minorEastAsia" w:hAnsiTheme="minorEastAsia"/>
                <w:sz w:val="21"/>
                <w:szCs w:val="21"/>
                <w:lang w:eastAsia="zh-CN"/>
              </w:rPr>
              <w:t>卖平(优先平</w:t>
            </w:r>
            <w:r>
              <w:rPr>
                <w:rFonts w:hint="eastAsia" w:asciiTheme="minorEastAsia" w:hAnsiTheme="minorEastAsia"/>
                <w:sz w:val="21"/>
                <w:szCs w:val="21"/>
                <w:lang w:val="en-US" w:eastAsia="zh-CN"/>
              </w:rPr>
              <w:t>昨</w:t>
            </w:r>
            <w:r>
              <w:rPr>
                <w:rFonts w:asciiTheme="minorEastAsia" w:hAnsiTheme="minorEastAsia"/>
                <w:sz w:val="21"/>
                <w:szCs w:val="21"/>
                <w:lang w:eastAsia="zh-CN"/>
              </w:rPr>
              <w:t>)</w:t>
            </w:r>
          </w:p>
        </w:tc>
      </w:tr>
    </w:tbl>
    <w:p w14:paraId="229277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sz w:val="21"/>
          <w:szCs w:val="21"/>
          <w:lang w:eastAsia="zh-CN"/>
        </w:rPr>
      </w:pPr>
      <w:r>
        <w:rPr>
          <w:rFonts w:hint="eastAsia" w:ascii="宋体" w:hAnsi="宋体" w:eastAsia="宋体" w:cs="宋体"/>
          <w:b w:val="0"/>
          <w:bCs w:val="0"/>
          <w:lang w:val="en-US" w:eastAsia="zh-CN"/>
        </w:rPr>
        <w:t>该模块包含策略列表、行情、委托、成交、持仓以及执行日志六大组件，各组件可复制、关闭、撤销关闭、拖动等操作。全局界面如下：</w:t>
      </w:r>
    </w:p>
    <w:p w14:paraId="42EC8174">
      <w:pPr>
        <w:rPr>
          <w:rFonts w:hint="eastAsia" w:asciiTheme="minorEastAsia" w:hAnsiTheme="minorEastAsia"/>
          <w:sz w:val="21"/>
          <w:szCs w:val="21"/>
          <w:lang w:eastAsia="zh-CN"/>
        </w:rPr>
      </w:pPr>
      <w:r>
        <w:rPr>
          <w:rFonts w:hint="eastAsia" w:asciiTheme="minorEastAsia" w:hAnsiTheme="minorEastAsia"/>
          <w:sz w:val="21"/>
          <w:szCs w:val="21"/>
          <w:lang w:eastAsia="zh-CN"/>
        </w:rPr>
        <w:drawing>
          <wp:inline distT="0" distB="0" distL="114300" distR="114300">
            <wp:extent cx="5234940" cy="2475230"/>
            <wp:effectExtent l="0" t="0" r="3810" b="127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34940" cy="2475230"/>
                    </a:xfrm>
                    <a:prstGeom prst="rect">
                      <a:avLst/>
                    </a:prstGeom>
                  </pic:spPr>
                </pic:pic>
              </a:graphicData>
            </a:graphic>
          </wp:inline>
        </w:drawing>
      </w:r>
    </w:p>
    <w:p w14:paraId="0CB50D2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策略列表</w:t>
      </w:r>
    </w:p>
    <w:p w14:paraId="71105E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策略列表展示用户当日创建以及跨日还未清除的策略信息，包括策略的实例ID、策略名称、委托量、成交量、敞口量、执行状态、执行操作、行情基差等信息。</w:t>
      </w:r>
    </w:p>
    <w:p w14:paraId="621638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点击策略名称可以选中该条策略，点击执行操作列的图标可对策略进行操作。对执行状态为未执行、暂停、正在执行的策略，双击期望基差，可对基差阀值进行修改。</w:t>
      </w:r>
    </w:p>
    <w:p w14:paraId="3357F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ascii="宋体" w:hAnsi="宋体" w:eastAsia="宋体" w:cs="宋体"/>
          <w:b w:val="0"/>
          <w:bCs w:val="0"/>
          <w:lang w:val="en-US" w:eastAsia="zh-CN"/>
        </w:rPr>
        <w:t>点击策略列表上的快捷按钮，可进行新增、修改、复制、删除以及启动、暂停、终止策略的操作，选中策略点击鼠标右键，可以对策略进行修改、复制、删除、加入行情列表等操作。</w:t>
      </w:r>
    </w:p>
    <w:p w14:paraId="608C2BA8">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eastAsia"/>
          <w:sz w:val="24"/>
          <w:szCs w:val="24"/>
          <w:lang w:val="en-US" w:eastAsia="zh-CN"/>
        </w:rPr>
      </w:pPr>
      <w:r>
        <w:rPr>
          <w:rFonts w:hint="eastAsia"/>
          <w:sz w:val="24"/>
          <w:szCs w:val="24"/>
          <w:lang w:val="en-US" w:eastAsia="zh-CN"/>
        </w:rPr>
        <w:t>新增策略</w:t>
      </w:r>
    </w:p>
    <w:p w14:paraId="6C219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在策略列表上方点击“新增”按钮，弹出新建策略页面，可在此页面进行参数设置。</w:t>
      </w:r>
    </w:p>
    <w:p w14:paraId="2E26363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830830"/>
            <wp:effectExtent l="0" t="0" r="10160"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9"/>
                    <a:stretch>
                      <a:fillRect/>
                    </a:stretch>
                  </pic:blipFill>
                  <pic:spPr>
                    <a:xfrm>
                      <a:off x="0" y="0"/>
                      <a:ext cx="5266690" cy="2830830"/>
                    </a:xfrm>
                    <a:prstGeom prst="rect">
                      <a:avLst/>
                    </a:prstGeom>
                    <a:noFill/>
                    <a:ln>
                      <a:noFill/>
                    </a:ln>
                  </pic:spPr>
                </pic:pic>
              </a:graphicData>
            </a:graphic>
          </wp:inline>
        </w:drawing>
      </w:r>
    </w:p>
    <w:p w14:paraId="36323CB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新建策略参数：</w:t>
      </w:r>
    </w:p>
    <w:p w14:paraId="3B1E2B9C">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策略名称</w:t>
      </w:r>
    </w:p>
    <w:p w14:paraId="13104A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输入框，必填项，支持输入字母、数字、文字和特殊符号，最长45个字符。</w:t>
      </w:r>
    </w:p>
    <w:p w14:paraId="58BF2B22">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添加、删除</w:t>
      </w:r>
    </w:p>
    <w:p w14:paraId="7A8B53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添加腿，删除腿，目前支持添加两条腿。</w:t>
      </w:r>
    </w:p>
    <w:p w14:paraId="4E3368FC">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序号</w:t>
      </w:r>
    </w:p>
    <w:p w14:paraId="1F2DAC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添加腿时自动带出，默认从A开始。</w:t>
      </w:r>
    </w:p>
    <w:p w14:paraId="09BD7332">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资产账号</w:t>
      </w:r>
    </w:p>
    <w:p w14:paraId="3E0A4D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展示绑定的</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lang w:val="en-US" w:eastAsia="zh-CN"/>
        </w:rPr>
        <w:t>、</w:t>
      </w: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r>
        <w:rPr>
          <w:rFonts w:hint="eastAsia"/>
          <w:lang w:val="en-US" w:eastAsia="zh-CN"/>
        </w:rPr>
        <w:t>、期货账号。</w:t>
      </w:r>
    </w:p>
    <w:p w14:paraId="577B5E72">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证券代码</w:t>
      </w:r>
    </w:p>
    <w:p w14:paraId="53C0F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输入数字或字母，可以模糊匹配合约代码首位或者合约名称首位。</w:t>
      </w:r>
    </w:p>
    <w:p w14:paraId="752EAC14">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交易市场</w:t>
      </w:r>
    </w:p>
    <w:p w14:paraId="2CEA15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选中合约后自动带出，不可修改。</w:t>
      </w:r>
    </w:p>
    <w:p w14:paraId="2108B16D">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交易方向</w:t>
      </w:r>
    </w:p>
    <w:p w14:paraId="2D051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lang w:val="en-US" w:eastAsia="zh-CN"/>
        </w:rPr>
      </w:pPr>
      <w:r>
        <w:rPr>
          <w:rFonts w:hint="eastAsia"/>
          <w:lang w:val="en-US" w:eastAsia="zh-CN"/>
        </w:rPr>
        <w:t>根据不同市场的合约，可以选择不同的交易方向。</w:t>
      </w:r>
    </w:p>
    <w:p w14:paraId="7DDFD7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p>
    <w:p w14:paraId="273E1C8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drawing>
          <wp:inline distT="0" distB="0" distL="114300" distR="114300">
            <wp:extent cx="5133975" cy="2438400"/>
            <wp:effectExtent l="0" t="0" r="9525"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90"/>
                    <a:stretch>
                      <a:fillRect/>
                    </a:stretch>
                  </pic:blipFill>
                  <pic:spPr>
                    <a:xfrm>
                      <a:off x="0" y="0"/>
                      <a:ext cx="5133975" cy="2438400"/>
                    </a:xfrm>
                    <a:prstGeom prst="rect">
                      <a:avLst/>
                    </a:prstGeom>
                    <a:noFill/>
                    <a:ln>
                      <a:noFill/>
                    </a:ln>
                  </pic:spPr>
                </pic:pic>
              </a:graphicData>
            </a:graphic>
          </wp:inline>
        </w:drawing>
      </w:r>
    </w:p>
    <w:p w14:paraId="3BA203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eastAsia="zh-CN"/>
        </w:rPr>
      </w:pP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p>
    <w:p w14:paraId="7D76FE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sz w:val="21"/>
          <w:szCs w:val="21"/>
          <w:lang w:val="en-US" w:eastAsia="zh-CN"/>
        </w:rPr>
      </w:pPr>
      <w:r>
        <w:drawing>
          <wp:inline distT="0" distB="0" distL="114300" distR="114300">
            <wp:extent cx="4991100" cy="2400300"/>
            <wp:effectExtent l="0" t="0" r="0"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91"/>
                    <a:stretch>
                      <a:fillRect/>
                    </a:stretch>
                  </pic:blipFill>
                  <pic:spPr>
                    <a:xfrm>
                      <a:off x="0" y="0"/>
                      <a:ext cx="4991100" cy="2400300"/>
                    </a:xfrm>
                    <a:prstGeom prst="rect">
                      <a:avLst/>
                    </a:prstGeom>
                    <a:noFill/>
                    <a:ln>
                      <a:noFill/>
                    </a:ln>
                  </pic:spPr>
                </pic:pic>
              </a:graphicData>
            </a:graphic>
          </wp:inline>
        </w:drawing>
      </w:r>
    </w:p>
    <w:p w14:paraId="2252DE7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期货账号</w:t>
      </w:r>
    </w:p>
    <w:p w14:paraId="65BFC2F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162550" cy="280987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92"/>
                    <a:stretch>
                      <a:fillRect/>
                    </a:stretch>
                  </pic:blipFill>
                  <pic:spPr>
                    <a:xfrm>
                      <a:off x="0" y="0"/>
                      <a:ext cx="5162550" cy="2809875"/>
                    </a:xfrm>
                    <a:prstGeom prst="rect">
                      <a:avLst/>
                    </a:prstGeom>
                    <a:noFill/>
                    <a:ln>
                      <a:noFill/>
                    </a:ln>
                  </pic:spPr>
                </pic:pic>
              </a:graphicData>
            </a:graphic>
          </wp:inline>
        </w:drawing>
      </w:r>
    </w:p>
    <w:p w14:paraId="4FF3CB5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770" cy="2848610"/>
            <wp:effectExtent l="0" t="0" r="5080" b="889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93"/>
                    <a:stretch>
                      <a:fillRect/>
                    </a:stretch>
                  </pic:blipFill>
                  <pic:spPr>
                    <a:xfrm>
                      <a:off x="0" y="0"/>
                      <a:ext cx="5271770" cy="2848610"/>
                    </a:xfrm>
                    <a:prstGeom prst="rect">
                      <a:avLst/>
                    </a:prstGeom>
                    <a:noFill/>
                    <a:ln>
                      <a:noFill/>
                    </a:ln>
                  </pic:spPr>
                </pic:pic>
              </a:graphicData>
            </a:graphic>
          </wp:inline>
        </w:drawing>
      </w:r>
    </w:p>
    <w:p w14:paraId="7EEF9605">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主动/被动</w:t>
      </w:r>
    </w:p>
    <w:p w14:paraId="27D068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策略创建，添加标的时，提供“主动”和“被动”两个选项，这个参数影响的是策略执行时不同标的的下单顺序，当满足策略执行的触发条件时，设为主动的标的(称为“主动腿”会率先下单，设为“被动”的标的（称为“被动腿”〉需等主动腿全部成交后再下单。</w:t>
      </w:r>
    </w:p>
    <w:p w14:paraId="36ADD37E">
      <w:pPr>
        <w:rPr>
          <w:rFonts w:asciiTheme="minorEastAsia" w:hAnsiTheme="minorEastAsia"/>
          <w:sz w:val="21"/>
          <w:szCs w:val="21"/>
          <w:lang w:eastAsia="zh-CN"/>
        </w:rPr>
      </w:pPr>
      <w:r>
        <w:rPr>
          <w:rFonts w:asciiTheme="minorEastAsia" w:hAnsiTheme="minorEastAsia"/>
          <w:sz w:val="21"/>
          <w:szCs w:val="21"/>
          <w:lang w:eastAsia="zh-CN"/>
        </w:rPr>
        <w:drawing>
          <wp:inline distT="0" distB="0" distL="114300" distR="114300">
            <wp:extent cx="5258435" cy="1539875"/>
            <wp:effectExtent l="0" t="0" r="18415" b="3175"/>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5258435" cy="1539875"/>
                    </a:xfrm>
                    <a:prstGeom prst="rect">
                      <a:avLst/>
                    </a:prstGeom>
                  </pic:spPr>
                </pic:pic>
              </a:graphicData>
            </a:graphic>
          </wp:inline>
        </w:drawing>
      </w:r>
    </w:p>
    <w:p w14:paraId="77F7D1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注意：目前一个策略组合下，主动腿标的只允许设置1个，一般情况下，会把流动性较差的标的设为主动腿，流动性较好的标的设为被动腿。若标的之间的流动性相差不大，都可以瞬时成交，可以把全部标的都设为被动腿，此时满足策略触发条件后，所有标的将同时下单。</w:t>
      </w:r>
    </w:p>
    <w:p w14:paraId="67FC838B">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委托数量</w:t>
      </w:r>
    </w:p>
    <w:p w14:paraId="64FC56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非负整数，当资产账号为</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lang w:val="en-US" w:eastAsia="zh-CN"/>
        </w:rPr>
        <w:t>时，委托数量必须为100的整数。</w:t>
      </w:r>
    </w:p>
    <w:p w14:paraId="704E5390">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下单价</w:t>
      </w:r>
    </w:p>
    <w:p w14:paraId="4EC00A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lang w:val="en-US" w:eastAsia="zh-CN"/>
        </w:rPr>
      </w:pPr>
      <w:r>
        <w:rPr>
          <w:rFonts w:hint="eastAsia"/>
          <w:lang w:val="en-US" w:eastAsia="zh-CN"/>
        </w:rPr>
        <w:t>下拉框选项，可选择对手价、最新价、挂单价、盘口价、涨停价、跌停价。</w:t>
      </w:r>
    </w:p>
    <w:p w14:paraId="45B000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在策略创建，添加标的时，在“下单价”这一列可输入标的的下单价格，当满足策略执行的触发条件时，每个标的都会按满足触发条件的这一时刻的“下单价和下单超价”行情进行委托报单。</w:t>
      </w:r>
    </w:p>
    <w:p w14:paraId="2CE500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lang w:val="en-US" w:eastAsia="zh-CN"/>
        </w:rPr>
      </w:pPr>
      <w:r>
        <w:rPr>
          <w:rFonts w:hint="eastAsia"/>
          <w:lang w:val="en-US" w:eastAsia="zh-CN"/>
        </w:rPr>
        <w:t>下单价的行情取值与标的交易方向的关系见下表：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76"/>
        <w:gridCol w:w="2551"/>
        <w:gridCol w:w="2410"/>
      </w:tblGrid>
      <w:tr w14:paraId="6FCD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17C9FCD8">
            <w:pPr>
              <w:ind w:firstLine="632" w:firstLineChars="300"/>
              <w:rPr>
                <w:rFonts w:asciiTheme="minorEastAsia" w:hAnsiTheme="minorEastAsia"/>
                <w:b/>
                <w:bCs/>
                <w:sz w:val="21"/>
                <w:szCs w:val="21"/>
                <w:lang w:eastAsia="zh-CN"/>
              </w:rPr>
            </w:pPr>
            <w:r>
              <w:rPr>
                <w:rFonts w:hint="eastAsia" w:asciiTheme="minorEastAsia" w:hAnsiTheme="minorEastAsia"/>
                <w:b/>
                <w:bCs/>
                <w:sz w:val="21"/>
                <w:szCs w:val="21"/>
                <w:lang w:eastAsia="zh-CN"/>
              </w:rPr>
              <w:t>下单价选项</w:t>
            </w:r>
          </w:p>
        </w:tc>
        <w:tc>
          <w:tcPr>
            <w:tcW w:w="2551" w:type="dxa"/>
          </w:tcPr>
          <w:p w14:paraId="3AF5AE48">
            <w:pPr>
              <w:pStyle w:val="32"/>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买方向标的</w:t>
            </w:r>
          </w:p>
        </w:tc>
        <w:tc>
          <w:tcPr>
            <w:tcW w:w="2410" w:type="dxa"/>
          </w:tcPr>
          <w:p w14:paraId="7E2BC264">
            <w:pPr>
              <w:pStyle w:val="32"/>
              <w:jc w:val="center"/>
              <w:rPr>
                <w:rFonts w:asciiTheme="minorEastAsia" w:hAnsiTheme="minorEastAsia"/>
                <w:b/>
                <w:bCs/>
                <w:sz w:val="21"/>
                <w:szCs w:val="21"/>
                <w:lang w:eastAsia="zh-CN"/>
              </w:rPr>
            </w:pPr>
            <w:r>
              <w:rPr>
                <w:rFonts w:hint="eastAsia" w:asciiTheme="minorEastAsia" w:hAnsiTheme="minorEastAsia"/>
                <w:b/>
                <w:bCs/>
                <w:sz w:val="21"/>
                <w:szCs w:val="21"/>
                <w:lang w:eastAsia="zh-CN"/>
              </w:rPr>
              <w:t>卖方向标的</w:t>
            </w:r>
          </w:p>
        </w:tc>
      </w:tr>
      <w:tr w14:paraId="261C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35D0AD9B">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对手价</w:t>
            </w:r>
          </w:p>
        </w:tc>
        <w:tc>
          <w:tcPr>
            <w:tcW w:w="2551" w:type="dxa"/>
          </w:tcPr>
          <w:p w14:paraId="21A0E5A8">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卖一价</w:t>
            </w:r>
          </w:p>
        </w:tc>
        <w:tc>
          <w:tcPr>
            <w:tcW w:w="2410" w:type="dxa"/>
          </w:tcPr>
          <w:p w14:paraId="34972969">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买一价</w:t>
            </w:r>
          </w:p>
        </w:tc>
      </w:tr>
      <w:tr w14:paraId="1DDC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2C1A3911">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c>
          <w:tcPr>
            <w:tcW w:w="2551" w:type="dxa"/>
          </w:tcPr>
          <w:p w14:paraId="050C13D3">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c>
          <w:tcPr>
            <w:tcW w:w="2410" w:type="dxa"/>
          </w:tcPr>
          <w:p w14:paraId="3B61468A">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最新价</w:t>
            </w:r>
          </w:p>
        </w:tc>
      </w:tr>
      <w:tr w14:paraId="1140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1C32CF37">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挂单价</w:t>
            </w:r>
          </w:p>
        </w:tc>
        <w:tc>
          <w:tcPr>
            <w:tcW w:w="2551" w:type="dxa"/>
          </w:tcPr>
          <w:p w14:paraId="6444358A">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买一价</w:t>
            </w:r>
          </w:p>
        </w:tc>
        <w:tc>
          <w:tcPr>
            <w:tcW w:w="2410" w:type="dxa"/>
          </w:tcPr>
          <w:p w14:paraId="27C6D0B1">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卖一价</w:t>
            </w:r>
          </w:p>
        </w:tc>
      </w:tr>
      <w:tr w14:paraId="1F5D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76" w:type="dxa"/>
          </w:tcPr>
          <w:p w14:paraId="0063C81F">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盘口价</w:t>
            </w:r>
          </w:p>
        </w:tc>
        <w:tc>
          <w:tcPr>
            <w:tcW w:w="4961" w:type="dxa"/>
            <w:gridSpan w:val="2"/>
          </w:tcPr>
          <w:p w14:paraId="32D137FE">
            <w:pPr>
              <w:pStyle w:val="32"/>
              <w:jc w:val="center"/>
              <w:rPr>
                <w:rFonts w:asciiTheme="minorEastAsia" w:hAnsiTheme="minorEastAsia"/>
                <w:sz w:val="21"/>
                <w:szCs w:val="21"/>
                <w:lang w:eastAsia="zh-CN"/>
              </w:rPr>
            </w:pPr>
            <w:r>
              <w:rPr>
                <w:rFonts w:hint="eastAsia" w:asciiTheme="minorEastAsia" w:hAnsiTheme="minorEastAsia"/>
                <w:sz w:val="21"/>
                <w:szCs w:val="21"/>
                <w:lang w:eastAsia="zh-CN"/>
              </w:rPr>
              <w:t>对手盘N档加权平均价，N取盘口深度</w:t>
            </w:r>
          </w:p>
        </w:tc>
      </w:tr>
    </w:tbl>
    <w:p w14:paraId="2CC73F1D">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下单超价</w:t>
      </w:r>
    </w:p>
    <w:p w14:paraId="03B5D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输入框，必填项，支持输入整数，单位为tick(标的最小变动价格)，正数代表价格往有利成交方向进行报单,负数代表价格往不利成交方向进行报单,默认为0。交易方向为买时，委托价格=下单价+下单超价，交易方向为卖时，委托价格=下单价-下单超价。</w:t>
      </w:r>
    </w:p>
    <w:p w14:paraId="515055C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例:以正数为例</w:t>
      </w:r>
    </w:p>
    <w:p w14:paraId="68A541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多头：下单价：对手价，下单超价：1tick，实际下单价格：对手价+1tick</w:t>
      </w:r>
    </w:p>
    <w:p w14:paraId="1BD38F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asciiTheme="minorEastAsia" w:hAnsiTheme="minorEastAsia"/>
          <w:sz w:val="21"/>
          <w:szCs w:val="21"/>
          <w:lang w:eastAsia="zh-CN"/>
        </w:rPr>
      </w:pPr>
      <w:r>
        <w:rPr>
          <w:rFonts w:hint="eastAsia" w:ascii="宋体" w:hAnsi="宋体" w:eastAsia="宋体" w:cs="宋体"/>
          <w:b w:val="0"/>
          <w:bCs w:val="0"/>
          <w:lang w:val="en-US" w:eastAsia="zh-CN"/>
        </w:rPr>
        <w:t>空头：下单价：对手价，下单超价：1tick，实际下单价格：对手价-1tick</w:t>
      </w:r>
    </w:p>
    <w:p w14:paraId="7BFF6C80">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盘口深度</w:t>
      </w:r>
    </w:p>
    <w:p w14:paraId="0CA17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下单价选择对手价、最新价、挂单价、涨停价、跌停价时，盘口深度默认为一档，不可编辑，下单价选择盘口价时，盘口深度可选择一档、二档、三档、四档、五档、六档、七档、八档、九档、十档、自动。</w:t>
      </w:r>
    </w:p>
    <w:p w14:paraId="537755A7">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报价属性</w:t>
      </w:r>
    </w:p>
    <w:p w14:paraId="1397F5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只有资产账号为期货账号时报价属性才可选择，资产账号为证券现货账号、证券期权账号时，报价属性默认为空，不可编辑。</w:t>
      </w:r>
    </w:p>
    <w:p w14:paraId="7F067E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期货各个交易所的报价属性见下表：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3682"/>
      </w:tblGrid>
      <w:tr w14:paraId="7720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tcPr>
          <w:p w14:paraId="24347962">
            <w:pPr>
              <w:jc w:val="center"/>
              <w:rPr>
                <w:rFonts w:hint="default"/>
                <w:b/>
                <w:bCs/>
                <w:vertAlign w:val="baseline"/>
                <w:lang w:val="en-US" w:eastAsia="zh-CN"/>
              </w:rPr>
            </w:pPr>
            <w:r>
              <w:rPr>
                <w:rFonts w:hint="eastAsia"/>
                <w:b/>
                <w:bCs/>
                <w:vertAlign w:val="baseline"/>
                <w:lang w:val="en-US" w:eastAsia="zh-CN"/>
              </w:rPr>
              <w:t>交易所</w:t>
            </w:r>
          </w:p>
        </w:tc>
        <w:tc>
          <w:tcPr>
            <w:tcW w:w="3682" w:type="dxa"/>
          </w:tcPr>
          <w:p w14:paraId="37CC2FF0">
            <w:pPr>
              <w:jc w:val="center"/>
              <w:rPr>
                <w:rFonts w:hint="default"/>
                <w:b/>
                <w:bCs/>
                <w:vertAlign w:val="baseline"/>
                <w:lang w:val="en-US" w:eastAsia="zh-CN"/>
              </w:rPr>
            </w:pPr>
            <w:r>
              <w:rPr>
                <w:rFonts w:hint="eastAsia"/>
                <w:b/>
                <w:bCs/>
                <w:vertAlign w:val="baseline"/>
                <w:lang w:val="en-US" w:eastAsia="zh-CN"/>
              </w:rPr>
              <w:t>报价属性</w:t>
            </w:r>
          </w:p>
        </w:tc>
      </w:tr>
      <w:tr w14:paraId="7ABA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566EDAF2">
            <w:pPr>
              <w:jc w:val="center"/>
              <w:rPr>
                <w:rFonts w:hint="default"/>
                <w:vertAlign w:val="baseline"/>
                <w:lang w:val="en-US" w:eastAsia="zh-CN"/>
              </w:rPr>
            </w:pPr>
            <w:r>
              <w:rPr>
                <w:rFonts w:hint="eastAsia"/>
                <w:vertAlign w:val="baseline"/>
                <w:lang w:val="en-US" w:eastAsia="zh-CN"/>
              </w:rPr>
              <w:t>中金所</w:t>
            </w:r>
          </w:p>
        </w:tc>
        <w:tc>
          <w:tcPr>
            <w:tcW w:w="3682" w:type="dxa"/>
          </w:tcPr>
          <w:p w14:paraId="00FDCEBF">
            <w:pPr>
              <w:jc w:val="center"/>
              <w:rPr>
                <w:rFonts w:hint="eastAsia"/>
                <w:vertAlign w:val="baseline"/>
                <w:lang w:val="en-US" w:eastAsia="zh-CN"/>
              </w:rPr>
            </w:pPr>
            <w:r>
              <w:rPr>
                <w:rFonts w:hint="eastAsia"/>
                <w:vertAlign w:val="baseline"/>
                <w:lang w:val="en-US" w:eastAsia="zh-CN"/>
              </w:rPr>
              <w:t>GFD当日有效</w:t>
            </w:r>
          </w:p>
        </w:tc>
      </w:tr>
      <w:tr w14:paraId="4822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27F886EB">
            <w:pPr>
              <w:jc w:val="center"/>
              <w:rPr>
                <w:rFonts w:hint="eastAsia"/>
                <w:vertAlign w:val="baseline"/>
                <w:lang w:val="en-US" w:eastAsia="zh-CN"/>
              </w:rPr>
            </w:pPr>
          </w:p>
        </w:tc>
        <w:tc>
          <w:tcPr>
            <w:tcW w:w="3682" w:type="dxa"/>
          </w:tcPr>
          <w:p w14:paraId="7566117E">
            <w:pPr>
              <w:jc w:val="center"/>
              <w:rPr>
                <w:rFonts w:hint="eastAsia"/>
                <w:vertAlign w:val="baseline"/>
                <w:lang w:val="en-US" w:eastAsia="zh-CN"/>
              </w:rPr>
            </w:pPr>
            <w:r>
              <w:rPr>
                <w:rFonts w:hint="eastAsia"/>
                <w:vertAlign w:val="baseline"/>
                <w:lang w:val="en-US" w:eastAsia="zh-CN"/>
              </w:rPr>
              <w:t>FAK任意成交剩余撤销</w:t>
            </w:r>
          </w:p>
        </w:tc>
      </w:tr>
      <w:tr w14:paraId="06C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06062805">
            <w:pPr>
              <w:jc w:val="center"/>
              <w:rPr>
                <w:rFonts w:hint="eastAsia"/>
                <w:vertAlign w:val="baseline"/>
                <w:lang w:val="en-US" w:eastAsia="zh-CN"/>
              </w:rPr>
            </w:pPr>
          </w:p>
        </w:tc>
        <w:tc>
          <w:tcPr>
            <w:tcW w:w="3682" w:type="dxa"/>
          </w:tcPr>
          <w:p w14:paraId="4728C41A">
            <w:pPr>
              <w:jc w:val="center"/>
              <w:rPr>
                <w:rFonts w:hint="eastAsia"/>
                <w:vertAlign w:val="baseline"/>
                <w:lang w:val="en-US" w:eastAsia="zh-CN"/>
              </w:rPr>
            </w:pPr>
            <w:r>
              <w:rPr>
                <w:rFonts w:hint="eastAsia"/>
                <w:vertAlign w:val="baseline"/>
                <w:lang w:val="en-US" w:eastAsia="zh-CN"/>
              </w:rPr>
              <w:t>FOK全部成交或撤销</w:t>
            </w:r>
          </w:p>
        </w:tc>
      </w:tr>
      <w:tr w14:paraId="7790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457" w:type="dxa"/>
            <w:vMerge w:val="restart"/>
            <w:vAlign w:val="center"/>
          </w:tcPr>
          <w:p w14:paraId="3E3E4502">
            <w:pPr>
              <w:jc w:val="center"/>
              <w:rPr>
                <w:rFonts w:hint="eastAsia"/>
                <w:vertAlign w:val="baseline"/>
                <w:lang w:val="en-US" w:eastAsia="zh-CN"/>
              </w:rPr>
            </w:pPr>
            <w:r>
              <w:rPr>
                <w:rFonts w:hint="eastAsia" w:asciiTheme="minorEastAsia" w:hAnsiTheme="minorEastAsia"/>
                <w:sz w:val="21"/>
                <w:szCs w:val="21"/>
                <w:lang w:eastAsia="zh-CN"/>
              </w:rPr>
              <w:t>上期所</w:t>
            </w:r>
          </w:p>
        </w:tc>
        <w:tc>
          <w:tcPr>
            <w:tcW w:w="3682" w:type="dxa"/>
            <w:shd w:val="clear" w:color="auto" w:fill="auto"/>
            <w:vAlign w:val="top"/>
          </w:tcPr>
          <w:p w14:paraId="67C3EA1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3022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18281204">
            <w:pPr>
              <w:jc w:val="center"/>
              <w:rPr>
                <w:rFonts w:hint="eastAsia" w:asciiTheme="minorEastAsia" w:hAnsiTheme="minorEastAsia"/>
                <w:sz w:val="21"/>
                <w:szCs w:val="21"/>
                <w:lang w:eastAsia="zh-CN"/>
              </w:rPr>
            </w:pPr>
          </w:p>
        </w:tc>
        <w:tc>
          <w:tcPr>
            <w:tcW w:w="3682" w:type="dxa"/>
            <w:shd w:val="clear" w:color="auto" w:fill="auto"/>
            <w:vAlign w:val="top"/>
          </w:tcPr>
          <w:p w14:paraId="798E37A4">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17EF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6CF11BB">
            <w:pPr>
              <w:jc w:val="center"/>
              <w:rPr>
                <w:rFonts w:hint="eastAsia" w:asciiTheme="minorEastAsia" w:hAnsiTheme="minorEastAsia"/>
                <w:sz w:val="21"/>
                <w:szCs w:val="21"/>
                <w:lang w:eastAsia="zh-CN"/>
              </w:rPr>
            </w:pPr>
          </w:p>
        </w:tc>
        <w:tc>
          <w:tcPr>
            <w:tcW w:w="3682" w:type="dxa"/>
            <w:shd w:val="clear" w:color="auto" w:fill="auto"/>
            <w:vAlign w:val="top"/>
          </w:tcPr>
          <w:p w14:paraId="7B934CB5">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3D04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5A6B9B4">
            <w:pPr>
              <w:jc w:val="center"/>
              <w:rPr>
                <w:rFonts w:hint="eastAsia"/>
                <w:vertAlign w:val="baseline"/>
                <w:lang w:val="en-US" w:eastAsia="zh-CN"/>
              </w:rPr>
            </w:pPr>
            <w:r>
              <w:rPr>
                <w:rFonts w:hint="eastAsia" w:asciiTheme="minorEastAsia" w:hAnsiTheme="minorEastAsia"/>
                <w:sz w:val="21"/>
                <w:szCs w:val="21"/>
                <w:lang w:eastAsia="zh-CN"/>
              </w:rPr>
              <w:t>上能源</w:t>
            </w:r>
          </w:p>
        </w:tc>
        <w:tc>
          <w:tcPr>
            <w:tcW w:w="3682" w:type="dxa"/>
            <w:shd w:val="clear" w:color="auto" w:fill="auto"/>
            <w:vAlign w:val="top"/>
          </w:tcPr>
          <w:p w14:paraId="534572D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3BC4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01BEE3AA">
            <w:pPr>
              <w:jc w:val="center"/>
              <w:rPr>
                <w:rFonts w:hint="eastAsia" w:asciiTheme="minorEastAsia" w:hAnsiTheme="minorEastAsia"/>
                <w:sz w:val="21"/>
                <w:szCs w:val="21"/>
                <w:lang w:eastAsia="zh-CN"/>
              </w:rPr>
            </w:pPr>
          </w:p>
        </w:tc>
        <w:tc>
          <w:tcPr>
            <w:tcW w:w="3682" w:type="dxa"/>
            <w:shd w:val="clear" w:color="auto" w:fill="auto"/>
            <w:vAlign w:val="top"/>
          </w:tcPr>
          <w:p w14:paraId="34317426">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62EC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57" w:type="dxa"/>
            <w:vMerge w:val="continue"/>
          </w:tcPr>
          <w:p w14:paraId="2BAEB478">
            <w:pPr>
              <w:jc w:val="center"/>
              <w:rPr>
                <w:rFonts w:hint="eastAsia" w:asciiTheme="minorEastAsia" w:hAnsiTheme="minorEastAsia"/>
                <w:sz w:val="21"/>
                <w:szCs w:val="21"/>
                <w:lang w:eastAsia="zh-CN"/>
              </w:rPr>
            </w:pPr>
          </w:p>
        </w:tc>
        <w:tc>
          <w:tcPr>
            <w:tcW w:w="3682" w:type="dxa"/>
            <w:shd w:val="clear" w:color="auto" w:fill="auto"/>
            <w:vAlign w:val="top"/>
          </w:tcPr>
          <w:p w14:paraId="1FEC81E7">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34A9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5534C00">
            <w:pPr>
              <w:jc w:val="center"/>
              <w:rPr>
                <w:rFonts w:hint="eastAsia"/>
                <w:vertAlign w:val="baseline"/>
                <w:lang w:val="en-US" w:eastAsia="zh-CN"/>
              </w:rPr>
            </w:pPr>
            <w:r>
              <w:rPr>
                <w:rFonts w:hint="eastAsia" w:asciiTheme="minorEastAsia" w:hAnsiTheme="minorEastAsia"/>
                <w:sz w:val="21"/>
                <w:szCs w:val="21"/>
                <w:lang w:eastAsia="zh-CN"/>
              </w:rPr>
              <w:t>大商所</w:t>
            </w:r>
          </w:p>
        </w:tc>
        <w:tc>
          <w:tcPr>
            <w:tcW w:w="3682" w:type="dxa"/>
            <w:shd w:val="clear" w:color="auto" w:fill="auto"/>
            <w:vAlign w:val="top"/>
          </w:tcPr>
          <w:p w14:paraId="74CCE6EB">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1A3E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72E2CC39">
            <w:pPr>
              <w:jc w:val="center"/>
              <w:rPr>
                <w:rFonts w:hint="eastAsia" w:asciiTheme="minorEastAsia" w:hAnsiTheme="minorEastAsia"/>
                <w:sz w:val="21"/>
                <w:szCs w:val="21"/>
                <w:lang w:eastAsia="zh-CN"/>
              </w:rPr>
            </w:pPr>
          </w:p>
        </w:tc>
        <w:tc>
          <w:tcPr>
            <w:tcW w:w="3682" w:type="dxa"/>
            <w:shd w:val="clear" w:color="auto" w:fill="auto"/>
            <w:vAlign w:val="top"/>
          </w:tcPr>
          <w:p w14:paraId="554645CF">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42DC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1C5A6DC">
            <w:pPr>
              <w:jc w:val="center"/>
              <w:rPr>
                <w:rFonts w:hint="eastAsia" w:asciiTheme="minorEastAsia" w:hAnsiTheme="minorEastAsia"/>
                <w:sz w:val="21"/>
                <w:szCs w:val="21"/>
                <w:lang w:eastAsia="zh-CN"/>
              </w:rPr>
            </w:pPr>
          </w:p>
        </w:tc>
        <w:tc>
          <w:tcPr>
            <w:tcW w:w="3682" w:type="dxa"/>
            <w:shd w:val="clear" w:color="auto" w:fill="auto"/>
            <w:vAlign w:val="top"/>
          </w:tcPr>
          <w:p w14:paraId="53948DCE">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FOK全部成交或撤销</w:t>
            </w:r>
          </w:p>
        </w:tc>
      </w:tr>
      <w:tr w14:paraId="5756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restart"/>
            <w:vAlign w:val="center"/>
          </w:tcPr>
          <w:p w14:paraId="3E6F5FAE">
            <w:pPr>
              <w:jc w:val="center"/>
              <w:rPr>
                <w:rFonts w:hint="eastAsia"/>
                <w:vertAlign w:val="baseline"/>
                <w:lang w:val="en-US" w:eastAsia="zh-CN"/>
              </w:rPr>
            </w:pPr>
            <w:r>
              <w:rPr>
                <w:rFonts w:hint="eastAsia" w:asciiTheme="minorEastAsia" w:hAnsiTheme="minorEastAsia"/>
                <w:sz w:val="21"/>
                <w:szCs w:val="21"/>
                <w:lang w:eastAsia="zh-CN"/>
              </w:rPr>
              <w:t>郑商所</w:t>
            </w:r>
          </w:p>
        </w:tc>
        <w:tc>
          <w:tcPr>
            <w:tcW w:w="3682" w:type="dxa"/>
            <w:shd w:val="clear" w:color="auto" w:fill="auto"/>
            <w:vAlign w:val="top"/>
          </w:tcPr>
          <w:p w14:paraId="5CB8DC7C">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r w14:paraId="6051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vMerge w:val="continue"/>
          </w:tcPr>
          <w:p w14:paraId="3CAE43E9">
            <w:pPr>
              <w:jc w:val="center"/>
              <w:rPr>
                <w:rFonts w:hint="eastAsia" w:asciiTheme="minorEastAsia" w:hAnsiTheme="minorEastAsia"/>
                <w:sz w:val="21"/>
                <w:szCs w:val="21"/>
                <w:lang w:eastAsia="zh-CN"/>
              </w:rPr>
            </w:pPr>
          </w:p>
        </w:tc>
        <w:tc>
          <w:tcPr>
            <w:tcW w:w="3682" w:type="dxa"/>
            <w:shd w:val="clear" w:color="auto" w:fill="auto"/>
            <w:vAlign w:val="top"/>
          </w:tcPr>
          <w:p w14:paraId="409F1FC6">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FAK任意成交剩余撤销</w:t>
            </w:r>
          </w:p>
        </w:tc>
      </w:tr>
      <w:tr w14:paraId="6054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7" w:type="dxa"/>
          </w:tcPr>
          <w:p w14:paraId="7840E1D2">
            <w:pPr>
              <w:jc w:val="center"/>
              <w:rPr>
                <w:rFonts w:hint="eastAsia"/>
                <w:vertAlign w:val="baseline"/>
                <w:lang w:val="en-US" w:eastAsia="zh-CN"/>
              </w:rPr>
            </w:pPr>
            <w:r>
              <w:rPr>
                <w:rFonts w:hint="eastAsia" w:asciiTheme="minorEastAsia" w:hAnsiTheme="minorEastAsia"/>
                <w:sz w:val="21"/>
                <w:szCs w:val="21"/>
                <w:lang w:eastAsia="zh-CN"/>
              </w:rPr>
              <w:t>广期所</w:t>
            </w:r>
          </w:p>
        </w:tc>
        <w:tc>
          <w:tcPr>
            <w:tcW w:w="3682" w:type="dxa"/>
            <w:shd w:val="clear" w:color="auto" w:fill="auto"/>
            <w:vAlign w:val="top"/>
          </w:tcPr>
          <w:p w14:paraId="479B684D">
            <w:pPr>
              <w:jc w:val="cente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GFD当日有效</w:t>
            </w:r>
          </w:p>
        </w:tc>
      </w:tr>
    </w:tbl>
    <w:p w14:paraId="3481531B">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投保标记</w:t>
      </w:r>
    </w:p>
    <w:p w14:paraId="0CC310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只有资产账号为期货账号时投</w:t>
      </w:r>
      <w:r>
        <w:rPr>
          <w:rFonts w:hint="eastAsia"/>
          <w:lang w:val="en-US" w:eastAsia="zh-CN"/>
        </w:rPr>
        <w:t>保</w:t>
      </w:r>
      <w:r>
        <w:rPr>
          <w:rFonts w:hint="eastAsia" w:ascii="宋体" w:hAnsi="宋体" w:eastAsia="宋体" w:cs="宋体"/>
          <w:b w:val="0"/>
          <w:bCs w:val="0"/>
          <w:lang w:val="en-US" w:eastAsia="zh-CN"/>
        </w:rPr>
        <w:t>标记才可选择，资产账号为证券现货账号、证券期权账号时，投</w:t>
      </w:r>
      <w:r>
        <w:rPr>
          <w:rFonts w:hint="eastAsia"/>
          <w:lang w:val="en-US" w:eastAsia="zh-CN"/>
        </w:rPr>
        <w:t>保</w:t>
      </w:r>
      <w:r>
        <w:rPr>
          <w:rFonts w:hint="eastAsia" w:ascii="宋体" w:hAnsi="宋体" w:eastAsia="宋体" w:cs="宋体"/>
          <w:b w:val="0"/>
          <w:bCs w:val="0"/>
          <w:lang w:val="en-US" w:eastAsia="zh-CN"/>
        </w:rPr>
        <w:t>标记默认为空，不可编辑。目前投</w:t>
      </w:r>
      <w:r>
        <w:rPr>
          <w:rFonts w:hint="eastAsia"/>
          <w:lang w:val="en-US" w:eastAsia="zh-CN"/>
        </w:rPr>
        <w:t>保</w:t>
      </w:r>
      <w:r>
        <w:rPr>
          <w:rFonts w:hint="eastAsia" w:ascii="宋体" w:hAnsi="宋体" w:eastAsia="宋体" w:cs="宋体"/>
          <w:b w:val="0"/>
          <w:bCs w:val="0"/>
          <w:lang w:val="en-US" w:eastAsia="zh-CN"/>
        </w:rPr>
        <w:t>标记只支持选择投机。</w:t>
      </w:r>
    </w:p>
    <w:p w14:paraId="791BECF4">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基差公式</w:t>
      </w:r>
    </w:p>
    <w:p w14:paraId="79AA5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输入框，支持数字（小数和整数)、标的序号、买一价、卖一价、最新价、盘口均价（盘口深度N档之内的加权平均价〉以及特定符号（加、减、乘、除、括号和实心点号)，输入方式为“标的序号.价格”(价格系统自动提供，类似!Lsal的方式)，例如:0.8*B.最新价-A.最新价/5.7*100。基差方向可以选择&gt;、&gt;=、&lt;、&lt;=、=，阀值可以输入负数、0，正数。</w:t>
      </w:r>
    </w:p>
    <w:p w14:paraId="1B1BF8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lang w:val="en-US" w:eastAsia="zh-CN"/>
        </w:rPr>
        <w:t>基差公式中，阈值设置整数位需小于等于11位，小数位需小于等于4位。</w:t>
      </w:r>
    </w:p>
    <w:p w14:paraId="778BAF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基差公式下方提示：当基差公式中分母为0时，不计算基差值，不会触发阈值。</w:t>
      </w:r>
    </w:p>
    <w:p w14:paraId="4B7F0A08">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起止日期和起止时间</w:t>
      </w:r>
    </w:p>
    <w:p w14:paraId="785428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起始日期默认为新建策略的当天，不可修改，终止日期可以选择当天及以后的日期。起止时间可以设置两个时间段，勾选后才会生效，默认勾选第一个起止时间。</w:t>
      </w:r>
    </w:p>
    <w:p w14:paraId="4D250A02">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创建后立即启动</w:t>
      </w:r>
    </w:p>
    <w:p w14:paraId="3651E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该参数默认不勾选，勾选后保存，策略会立即启动，监控有效时间和基差。</w:t>
      </w:r>
    </w:p>
    <w:p w14:paraId="22A3BEBD">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修改策略</w:t>
      </w:r>
    </w:p>
    <w:p w14:paraId="04F8F2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勾选策略后点击修改按钮或者选中策略-点击鼠标右键-修改，可对执行状态为未执行、暂停的策略进行修改，执行状态为正在执行、执行结束的策略不可修改。执行状态为未执行的策略可以修改除起始日期外的所有参数，执行状态为暂停的策略，只能修改策略名称、基差阀值、终止日期、创建后立即启动。</w:t>
      </w:r>
    </w:p>
    <w:p w14:paraId="5574EF8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675" cy="1797050"/>
            <wp:effectExtent l="0" t="0" r="3175" b="1270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95"/>
                    <a:stretch>
                      <a:fillRect/>
                    </a:stretch>
                  </pic:blipFill>
                  <pic:spPr>
                    <a:xfrm>
                      <a:off x="0" y="0"/>
                      <a:ext cx="5273675" cy="1797050"/>
                    </a:xfrm>
                    <a:prstGeom prst="rect">
                      <a:avLst/>
                    </a:prstGeom>
                    <a:noFill/>
                    <a:ln>
                      <a:noFill/>
                    </a:ln>
                  </pic:spPr>
                </pic:pic>
              </a:graphicData>
            </a:graphic>
          </wp:inline>
        </w:drawing>
      </w:r>
    </w:p>
    <w:p w14:paraId="51194F1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1135" cy="1735455"/>
            <wp:effectExtent l="0" t="0" r="5715" b="1714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96"/>
                    <a:stretch>
                      <a:fillRect/>
                    </a:stretch>
                  </pic:blipFill>
                  <pic:spPr>
                    <a:xfrm>
                      <a:off x="0" y="0"/>
                      <a:ext cx="5271135" cy="1735455"/>
                    </a:xfrm>
                    <a:prstGeom prst="rect">
                      <a:avLst/>
                    </a:prstGeom>
                    <a:noFill/>
                    <a:ln>
                      <a:noFill/>
                    </a:ln>
                  </pic:spPr>
                </pic:pic>
              </a:graphicData>
            </a:graphic>
          </wp:inline>
        </w:drawing>
      </w:r>
    </w:p>
    <w:p w14:paraId="0BC97FBC">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复制策略</w:t>
      </w:r>
    </w:p>
    <w:p w14:paraId="64A593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勾选策略后点击复制按钮或者选中策略-点击鼠标右键-复制，可以快速复制策略，复制的策略除起始日期外的所有参数都可以修改。</w:t>
      </w:r>
    </w:p>
    <w:p w14:paraId="5EC5FB7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1482090"/>
            <wp:effectExtent l="0" t="0" r="11430" b="381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97"/>
                    <a:stretch>
                      <a:fillRect/>
                    </a:stretch>
                  </pic:blipFill>
                  <pic:spPr>
                    <a:xfrm>
                      <a:off x="0" y="0"/>
                      <a:ext cx="5265420" cy="1482090"/>
                    </a:xfrm>
                    <a:prstGeom prst="rect">
                      <a:avLst/>
                    </a:prstGeom>
                    <a:noFill/>
                    <a:ln>
                      <a:noFill/>
                    </a:ln>
                  </pic:spPr>
                </pic:pic>
              </a:graphicData>
            </a:graphic>
          </wp:inline>
        </w:drawing>
      </w:r>
    </w:p>
    <w:p w14:paraId="7C2D986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6055" cy="1649095"/>
            <wp:effectExtent l="0" t="0" r="10795" b="825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98"/>
                    <a:stretch>
                      <a:fillRect/>
                    </a:stretch>
                  </pic:blipFill>
                  <pic:spPr>
                    <a:xfrm>
                      <a:off x="0" y="0"/>
                      <a:ext cx="5266055" cy="1649095"/>
                    </a:xfrm>
                    <a:prstGeom prst="rect">
                      <a:avLst/>
                    </a:prstGeom>
                    <a:noFill/>
                    <a:ln>
                      <a:noFill/>
                    </a:ln>
                  </pic:spPr>
                </pic:pic>
              </a:graphicData>
            </a:graphic>
          </wp:inline>
        </w:drawing>
      </w:r>
    </w:p>
    <w:p w14:paraId="2237EB67">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删除策略</w:t>
      </w:r>
    </w:p>
    <w:p w14:paraId="479915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勾选策略后点击删除按钮或者选中策略-点击鼠标右键-删除，可对执行状态为未执行、暂停、执行结束的策略进行删除，执行状态为正在执行的策略不可删除。</w:t>
      </w:r>
    </w:p>
    <w:p w14:paraId="39872FB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59705" cy="1087755"/>
            <wp:effectExtent l="0" t="0" r="17145" b="1714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99"/>
                    <a:stretch>
                      <a:fillRect/>
                    </a:stretch>
                  </pic:blipFill>
                  <pic:spPr>
                    <a:xfrm>
                      <a:off x="0" y="0"/>
                      <a:ext cx="5259705" cy="1087755"/>
                    </a:xfrm>
                    <a:prstGeom prst="rect">
                      <a:avLst/>
                    </a:prstGeom>
                    <a:noFill/>
                    <a:ln>
                      <a:noFill/>
                    </a:ln>
                  </pic:spPr>
                </pic:pic>
              </a:graphicData>
            </a:graphic>
          </wp:inline>
        </w:drawing>
      </w:r>
    </w:p>
    <w:p w14:paraId="756237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3040" cy="1054735"/>
            <wp:effectExtent l="0" t="0" r="3810" b="1206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100"/>
                    <a:stretch>
                      <a:fillRect/>
                    </a:stretch>
                  </pic:blipFill>
                  <pic:spPr>
                    <a:xfrm>
                      <a:off x="0" y="0"/>
                      <a:ext cx="5273040" cy="1054735"/>
                    </a:xfrm>
                    <a:prstGeom prst="rect">
                      <a:avLst/>
                    </a:prstGeom>
                    <a:noFill/>
                    <a:ln>
                      <a:noFill/>
                    </a:ln>
                  </pic:spPr>
                </pic:pic>
              </a:graphicData>
            </a:graphic>
          </wp:inline>
        </w:drawing>
      </w:r>
    </w:p>
    <w:p w14:paraId="59B6EC4E">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启动策略</w:t>
      </w:r>
    </w:p>
    <w:p w14:paraId="78FB6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勾选策略后点击启动按钮或者点击执行操作列的未执行、暂停图标，可对执行状态为未执行、暂停的策略进行启动，执行状态为正在执行、执行结束的策略不可启动。</w:t>
      </w:r>
    </w:p>
    <w:p w14:paraId="6A321C8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59070" cy="1033145"/>
            <wp:effectExtent l="0" t="0" r="17780" b="1460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101"/>
                    <a:stretch>
                      <a:fillRect/>
                    </a:stretch>
                  </pic:blipFill>
                  <pic:spPr>
                    <a:xfrm>
                      <a:off x="0" y="0"/>
                      <a:ext cx="5259070" cy="1033145"/>
                    </a:xfrm>
                    <a:prstGeom prst="rect">
                      <a:avLst/>
                    </a:prstGeom>
                    <a:noFill/>
                    <a:ln>
                      <a:noFill/>
                    </a:ln>
                  </pic:spPr>
                </pic:pic>
              </a:graphicData>
            </a:graphic>
          </wp:inline>
        </w:drawing>
      </w:r>
    </w:p>
    <w:p w14:paraId="1703D11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8595" cy="1042035"/>
            <wp:effectExtent l="0" t="0" r="8255" b="571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102"/>
                    <a:stretch>
                      <a:fillRect/>
                    </a:stretch>
                  </pic:blipFill>
                  <pic:spPr>
                    <a:xfrm>
                      <a:off x="0" y="0"/>
                      <a:ext cx="5268595" cy="1042035"/>
                    </a:xfrm>
                    <a:prstGeom prst="rect">
                      <a:avLst/>
                    </a:prstGeom>
                    <a:noFill/>
                    <a:ln>
                      <a:noFill/>
                    </a:ln>
                  </pic:spPr>
                </pic:pic>
              </a:graphicData>
            </a:graphic>
          </wp:inline>
        </w:drawing>
      </w:r>
    </w:p>
    <w:p w14:paraId="0803C835">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暂停策略</w:t>
      </w:r>
    </w:p>
    <w:p w14:paraId="2A2838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勾选策略后点击暂停按钮或者点击执行操作列的正在执行图标，可对执行状态为正在执行的策略进行暂停，执行状态为未执行、暂停、执行结束的策略不可暂停。</w:t>
      </w:r>
    </w:p>
    <w:p w14:paraId="385D3A1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0975" cy="1012190"/>
            <wp:effectExtent l="0" t="0" r="15875" b="1651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103"/>
                    <a:stretch>
                      <a:fillRect/>
                    </a:stretch>
                  </pic:blipFill>
                  <pic:spPr>
                    <a:xfrm>
                      <a:off x="0" y="0"/>
                      <a:ext cx="5260975" cy="1012190"/>
                    </a:xfrm>
                    <a:prstGeom prst="rect">
                      <a:avLst/>
                    </a:prstGeom>
                    <a:noFill/>
                    <a:ln>
                      <a:noFill/>
                    </a:ln>
                  </pic:spPr>
                </pic:pic>
              </a:graphicData>
            </a:graphic>
          </wp:inline>
        </w:drawing>
      </w:r>
    </w:p>
    <w:p w14:paraId="7264121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0975" cy="1023620"/>
            <wp:effectExtent l="0" t="0" r="15875"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104"/>
                    <a:stretch>
                      <a:fillRect/>
                    </a:stretch>
                  </pic:blipFill>
                  <pic:spPr>
                    <a:xfrm>
                      <a:off x="0" y="0"/>
                      <a:ext cx="5260975" cy="1023620"/>
                    </a:xfrm>
                    <a:prstGeom prst="rect">
                      <a:avLst/>
                    </a:prstGeom>
                    <a:noFill/>
                    <a:ln>
                      <a:noFill/>
                    </a:ln>
                  </pic:spPr>
                </pic:pic>
              </a:graphicData>
            </a:graphic>
          </wp:inline>
        </w:drawing>
      </w:r>
    </w:p>
    <w:p w14:paraId="5C2E16D6">
      <w:pPr>
        <w:pStyle w:val="6"/>
        <w:keepNext/>
        <w:keepLines/>
        <w:pageBreakBefore w:val="0"/>
        <w:widowControl w:val="0"/>
        <w:numPr>
          <w:ilvl w:val="4"/>
          <w:numId w:val="2"/>
        </w:numPr>
        <w:kinsoku/>
        <w:wordWrap/>
        <w:overflowPunct/>
        <w:topLinePunct w:val="0"/>
        <w:autoSpaceDE/>
        <w:autoSpaceDN/>
        <w:bidi w:val="0"/>
        <w:adjustRightInd/>
        <w:snapToGrid/>
        <w:spacing w:before="120" w:after="120" w:line="240" w:lineRule="auto"/>
        <w:ind w:left="992" w:leftChars="0" w:hanging="992" w:firstLineChars="0"/>
        <w:textAlignment w:val="auto"/>
        <w:rPr>
          <w:rFonts w:hint="default"/>
          <w:sz w:val="24"/>
          <w:szCs w:val="24"/>
          <w:lang w:val="en-US" w:eastAsia="zh-CN"/>
        </w:rPr>
      </w:pPr>
      <w:r>
        <w:rPr>
          <w:rFonts w:hint="eastAsia"/>
          <w:sz w:val="24"/>
          <w:szCs w:val="24"/>
          <w:lang w:val="en-US" w:eastAsia="zh-CN"/>
        </w:rPr>
        <w:t>终止策略</w:t>
      </w:r>
    </w:p>
    <w:p w14:paraId="2E24B6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勾选策略后点击终止按钮，可对执行状态为正在执行、暂停的策略进行终止，执行状态为未执行、执行结束的策略不可终止。</w:t>
      </w:r>
    </w:p>
    <w:p w14:paraId="7E0A88A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1017905"/>
            <wp:effectExtent l="0" t="0" r="11430" b="1079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105"/>
                    <a:stretch>
                      <a:fillRect/>
                    </a:stretch>
                  </pic:blipFill>
                  <pic:spPr>
                    <a:xfrm>
                      <a:off x="0" y="0"/>
                      <a:ext cx="5265420" cy="1017905"/>
                    </a:xfrm>
                    <a:prstGeom prst="rect">
                      <a:avLst/>
                    </a:prstGeom>
                    <a:noFill/>
                    <a:ln>
                      <a:noFill/>
                    </a:ln>
                  </pic:spPr>
                </pic:pic>
              </a:graphicData>
            </a:graphic>
          </wp:inline>
        </w:drawing>
      </w:r>
    </w:p>
    <w:p w14:paraId="649D1D6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7325" cy="1038860"/>
            <wp:effectExtent l="0" t="0" r="9525" b="889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106"/>
                    <a:stretch>
                      <a:fillRect/>
                    </a:stretch>
                  </pic:blipFill>
                  <pic:spPr>
                    <a:xfrm>
                      <a:off x="0" y="0"/>
                      <a:ext cx="5267325" cy="1038860"/>
                    </a:xfrm>
                    <a:prstGeom prst="rect">
                      <a:avLst/>
                    </a:prstGeom>
                    <a:noFill/>
                    <a:ln>
                      <a:noFill/>
                    </a:ln>
                  </pic:spPr>
                </pic:pic>
              </a:graphicData>
            </a:graphic>
          </wp:inline>
        </w:drawing>
      </w:r>
    </w:p>
    <w:p w14:paraId="437B1C8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行情</w:t>
      </w:r>
    </w:p>
    <w:p w14:paraId="631DF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以“树状”形式展示自选策略的基差、基差盘口以及该策略下每个标的的行情明细。在行情列表的右上角输入</w:t>
      </w:r>
      <w:r>
        <w:rPr>
          <w:rFonts w:hint="eastAsia" w:ascii="宋体" w:hAnsi="宋体" w:eastAsia="宋体" w:cs="宋体"/>
          <w:b w:val="0"/>
          <w:bCs w:val="0"/>
          <w:highlight w:val="none"/>
          <w:lang w:val="en-US" w:eastAsia="zh-CN"/>
        </w:rPr>
        <w:t>策略编码（即实例ID）</w:t>
      </w:r>
      <w:r>
        <w:rPr>
          <w:rFonts w:hint="eastAsia" w:ascii="宋体" w:hAnsi="宋体" w:eastAsia="宋体" w:cs="宋体"/>
          <w:b w:val="0"/>
          <w:bCs w:val="0"/>
          <w:lang w:val="en-US" w:eastAsia="zh-CN"/>
        </w:rPr>
        <w:t>添加策略行情,也可通过右击策略列表中的策略，点击“加入行情列表”选项后添加至策略行情。</w:t>
      </w:r>
    </w:p>
    <w:p w14:paraId="1ED4180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8595" cy="875030"/>
            <wp:effectExtent l="0" t="0" r="8255" b="127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107"/>
                    <a:stretch>
                      <a:fillRect/>
                    </a:stretch>
                  </pic:blipFill>
                  <pic:spPr>
                    <a:xfrm>
                      <a:off x="0" y="0"/>
                      <a:ext cx="5268595" cy="875030"/>
                    </a:xfrm>
                    <a:prstGeom prst="rect">
                      <a:avLst/>
                    </a:prstGeom>
                    <a:noFill/>
                    <a:ln>
                      <a:noFill/>
                    </a:ln>
                  </pic:spPr>
                </pic:pic>
              </a:graphicData>
            </a:graphic>
          </wp:inline>
        </w:drawing>
      </w:r>
    </w:p>
    <w:p w14:paraId="219F714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4150" cy="1075055"/>
            <wp:effectExtent l="0" t="0" r="12700" b="1079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108"/>
                    <a:stretch>
                      <a:fillRect/>
                    </a:stretch>
                  </pic:blipFill>
                  <pic:spPr>
                    <a:xfrm>
                      <a:off x="0" y="0"/>
                      <a:ext cx="5264150" cy="1075055"/>
                    </a:xfrm>
                    <a:prstGeom prst="rect">
                      <a:avLst/>
                    </a:prstGeom>
                    <a:noFill/>
                    <a:ln>
                      <a:noFill/>
                    </a:ln>
                  </pic:spPr>
                </pic:pic>
              </a:graphicData>
            </a:graphic>
          </wp:inline>
        </w:drawing>
      </w:r>
    </w:p>
    <w:p w14:paraId="5FBDA7F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委托</w:t>
      </w:r>
    </w:p>
    <w:p w14:paraId="1A70CC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已触发基差条件并且已下单的委托订单，只展示选中策略的委托订单。勾选委托状态为已报、部成的委托订单，点击撤单按钮，可对委托订单进行撤单操作，点击全撤按钮，可对所有委托状态为已报、部成的委托订单进行撤单操作。</w:t>
      </w:r>
    </w:p>
    <w:p w14:paraId="63D4E12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70500" cy="2461260"/>
            <wp:effectExtent l="0" t="0" r="6350" b="1524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109"/>
                    <a:stretch>
                      <a:fillRect/>
                    </a:stretch>
                  </pic:blipFill>
                  <pic:spPr>
                    <a:xfrm>
                      <a:off x="0" y="0"/>
                      <a:ext cx="5270500" cy="2461260"/>
                    </a:xfrm>
                    <a:prstGeom prst="rect">
                      <a:avLst/>
                    </a:prstGeom>
                    <a:noFill/>
                    <a:ln>
                      <a:noFill/>
                    </a:ln>
                  </pic:spPr>
                </pic:pic>
              </a:graphicData>
            </a:graphic>
          </wp:inline>
        </w:drawing>
      </w:r>
    </w:p>
    <w:p w14:paraId="215CF9FA">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成交</w:t>
      </w:r>
    </w:p>
    <w:p w14:paraId="04E4BC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展示已成交的订单，只展示选中策略的成交订单。</w:t>
      </w:r>
    </w:p>
    <w:p w14:paraId="561588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65420" cy="2630170"/>
            <wp:effectExtent l="0" t="0" r="11430" b="1778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110"/>
                    <a:stretch>
                      <a:fillRect/>
                    </a:stretch>
                  </pic:blipFill>
                  <pic:spPr>
                    <a:xfrm>
                      <a:off x="0" y="0"/>
                      <a:ext cx="5265420" cy="2630170"/>
                    </a:xfrm>
                    <a:prstGeom prst="rect">
                      <a:avLst/>
                    </a:prstGeom>
                    <a:noFill/>
                    <a:ln>
                      <a:noFill/>
                    </a:ln>
                  </pic:spPr>
                </pic:pic>
              </a:graphicData>
            </a:graphic>
          </wp:inline>
        </w:drawing>
      </w:r>
    </w:p>
    <w:p w14:paraId="75D0A3DE">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持仓</w:t>
      </w:r>
    </w:p>
    <w:p w14:paraId="09426F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展示登录账号绑定的所有资产账号的持仓数据，包括</w:t>
      </w:r>
      <w:r>
        <w:rPr>
          <w:rFonts w:hint="eastAsia" w:asciiTheme="minorEastAsia" w:hAnsiTheme="minorEastAsia"/>
          <w:sz w:val="21"/>
          <w:szCs w:val="21"/>
          <w:lang w:val="en-US" w:eastAsia="zh-CN"/>
        </w:rPr>
        <w:t>证券现货</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证券期权</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期货账号的所有持仓。选中一条持仓数据，点击手工平仓按钮，弹出手工平仓页面，可进行平仓操作，只有平仓价格、平仓数量可修改，其它字段不可修改。点击手工补单按钮，弹出手工补单页面，可进行下单，所有字段都可修改，下单后的委托订单和持仓订单需要到其它交易模块才可以查看（证券现货</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的补单，需要到ETF交易模块如普通交易的委托明细、成交明细查看；证券期权</w:t>
      </w:r>
      <w:r>
        <w:rPr>
          <w:rFonts w:hint="eastAsia" w:asciiTheme="minorEastAsia" w:hAnsiTheme="minorEastAsia"/>
          <w:sz w:val="21"/>
          <w:szCs w:val="21"/>
          <w:lang w:eastAsia="zh-CN"/>
        </w:rPr>
        <w:t>账号</w:t>
      </w:r>
      <w:r>
        <w:rPr>
          <w:rFonts w:hint="eastAsia" w:asciiTheme="minorEastAsia" w:hAnsiTheme="minorEastAsia"/>
          <w:sz w:val="21"/>
          <w:szCs w:val="21"/>
          <w:lang w:val="en-US" w:eastAsia="zh-CN"/>
        </w:rPr>
        <w:t>的补单，需要到期权交易的委托明细、成交明细查看；期货账号的补单，需要到期货交易的委托明细、成交明细查看）。</w:t>
      </w:r>
    </w:p>
    <w:p w14:paraId="49C6DEE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361565"/>
            <wp:effectExtent l="0" t="0" r="11430" b="635"/>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111"/>
                    <a:stretch>
                      <a:fillRect/>
                    </a:stretch>
                  </pic:blipFill>
                  <pic:spPr>
                    <a:xfrm>
                      <a:off x="0" y="0"/>
                      <a:ext cx="5265420" cy="2361565"/>
                    </a:xfrm>
                    <a:prstGeom prst="rect">
                      <a:avLst/>
                    </a:prstGeom>
                    <a:noFill/>
                    <a:ln>
                      <a:noFill/>
                    </a:ln>
                  </pic:spPr>
                </pic:pic>
              </a:graphicData>
            </a:graphic>
          </wp:inline>
        </w:drawing>
      </w:r>
    </w:p>
    <w:p w14:paraId="41E1877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0500" cy="2331720"/>
            <wp:effectExtent l="0" t="0" r="6350" b="11430"/>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112"/>
                    <a:stretch>
                      <a:fillRect/>
                    </a:stretch>
                  </pic:blipFill>
                  <pic:spPr>
                    <a:xfrm>
                      <a:off x="0" y="0"/>
                      <a:ext cx="5270500" cy="2331720"/>
                    </a:xfrm>
                    <a:prstGeom prst="rect">
                      <a:avLst/>
                    </a:prstGeom>
                    <a:noFill/>
                    <a:ln>
                      <a:noFill/>
                    </a:ln>
                  </pic:spPr>
                </pic:pic>
              </a:graphicData>
            </a:graphic>
          </wp:inline>
        </w:drawing>
      </w:r>
    </w:p>
    <w:p w14:paraId="548DB124">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日志</w:t>
      </w:r>
    </w:p>
    <w:p w14:paraId="28B281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与策略列表联动，展示套利策略的运行日志,按时间的倒序记录策略运行的详细情况，主要包括策略执行的行情信息、策略运行的交易信息等，只展示选中策略的日志信息。</w:t>
      </w:r>
    </w:p>
    <w:p w14:paraId="60013AF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r>
        <w:drawing>
          <wp:inline distT="0" distB="0" distL="114300" distR="114300">
            <wp:extent cx="5273675" cy="2652395"/>
            <wp:effectExtent l="0" t="0" r="3175" b="14605"/>
            <wp:docPr id="7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7"/>
                    <pic:cNvPicPr>
                      <a:picLocks noChangeAspect="1"/>
                    </pic:cNvPicPr>
                  </pic:nvPicPr>
                  <pic:blipFill>
                    <a:blip r:embed="rId113"/>
                    <a:stretch>
                      <a:fillRect/>
                    </a:stretch>
                  </pic:blipFill>
                  <pic:spPr>
                    <a:xfrm>
                      <a:off x="0" y="0"/>
                      <a:ext cx="5273675" cy="2652395"/>
                    </a:xfrm>
                    <a:prstGeom prst="rect">
                      <a:avLst/>
                    </a:prstGeom>
                    <a:noFill/>
                    <a:ln>
                      <a:noFill/>
                    </a:ln>
                  </pic:spPr>
                </pic:pic>
              </a:graphicData>
            </a:graphic>
          </wp:inline>
        </w:drawing>
      </w:r>
    </w:p>
    <w:p w14:paraId="7D0E411D">
      <w:pPr>
        <w:pStyle w:val="3"/>
        <w:keepNext/>
        <w:keepLines/>
        <w:pageBreakBefore w:val="0"/>
        <w:widowControl w:val="0"/>
        <w:numPr>
          <w:ilvl w:val="1"/>
          <w:numId w:val="2"/>
        </w:numPr>
        <w:tabs>
          <w:tab w:val="left" w:pos="2261"/>
        </w:tabs>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29" w:name="_Toc13810"/>
      <w:r>
        <w:rPr>
          <w:rFonts w:hint="eastAsia" w:ascii="宋体" w:hAnsi="宋体" w:eastAsia="宋体" w:cs="宋体"/>
          <w:sz w:val="28"/>
          <w:szCs w:val="28"/>
          <w:lang w:val="en-US" w:eastAsia="zh-CN"/>
        </w:rPr>
        <w:t>指令流程</w:t>
      </w:r>
      <w:bookmarkEnd w:id="29"/>
    </w:p>
    <w:p w14:paraId="470AC77E">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0" w:name="_Toc30816"/>
      <w:r>
        <w:rPr>
          <w:rFonts w:hint="eastAsia" w:ascii="宋体" w:hAnsi="宋体" w:eastAsia="宋体" w:cs="宋体"/>
          <w:sz w:val="28"/>
          <w:szCs w:val="28"/>
          <w:lang w:val="en-US" w:eastAsia="zh-CN"/>
        </w:rPr>
        <w:t>指令说明</w:t>
      </w:r>
      <w:bookmarkEnd w:id="30"/>
    </w:p>
    <w:p w14:paraId="1BE7326F">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指令流程</w:t>
      </w:r>
    </w:p>
    <w:p w14:paraId="7FC260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指令流程是用来实现多岗位流程化指令交易的功能模块，通过指令流程可以实现指令下达、指令审批、指令分发、执行交易的功能。可以根据具体需要，选择以下几种流程:  </w:t>
      </w:r>
    </w:p>
    <w:p w14:paraId="2C2F2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两节点:指令下达-指令执行（or指令复核）  </w:t>
      </w:r>
    </w:p>
    <w:p w14:paraId="489C7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三节点:指令下达-指令分发-指令执行（or指令复核）  </w:t>
      </w:r>
    </w:p>
    <w:p w14:paraId="51EDEE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三节点:指令下达-指令审批-指令执行（or指令复核）  </w:t>
      </w:r>
    </w:p>
    <w:p w14:paraId="5ECCD6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四节点:指令下达-指令审批-指令分发-指令执行（or指令复核） </w:t>
      </w:r>
    </w:p>
    <w:p w14:paraId="1B76AF5C">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指令模式</w:t>
      </w:r>
    </w:p>
    <w:p w14:paraId="4497A0ED">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主动模式</w:t>
      </w:r>
    </w:p>
    <w:p w14:paraId="24FACE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指令交易员执行指令时，可对待执行指令的价格、数量、下单类型进行编辑后执行。  </w:t>
      </w:r>
    </w:p>
    <w:p w14:paraId="167379CC">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复核模式</w:t>
      </w:r>
    </w:p>
    <w:p w14:paraId="0C85B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指令复核员复核指令时，不可对待复核指令的证券代码、指令方向、指令价格、指令数量进行编辑，仅可点击指令通过或指令拒绝。</w:t>
      </w:r>
    </w:p>
    <w:p w14:paraId="01E2B523">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指令类型和交易品种</w:t>
      </w:r>
    </w:p>
    <w:p w14:paraId="4E54E851">
      <w:pPr>
        <w:rPr>
          <w:rFonts w:hint="eastAsia" w:ascii="宋体" w:hAnsi="宋体" w:eastAsia="宋体" w:cs="宋体"/>
          <w:lang w:val="en-US" w:eastAsia="zh-CN"/>
        </w:rPr>
      </w:pPr>
    </w:p>
    <w:tbl>
      <w:tblPr>
        <w:tblStyle w:val="21"/>
        <w:tblpPr w:vertAnchor="text" w:horzAnchor="page" w:tblpX="1800" w:tblpY="-270"/>
        <w:tblOverlap w:val="never"/>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1"/>
        <w:gridCol w:w="1698"/>
        <w:gridCol w:w="2121"/>
        <w:gridCol w:w="2828"/>
      </w:tblGrid>
      <w:tr w14:paraId="7459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551" w:type="dxa"/>
          </w:tcPr>
          <w:p w14:paraId="7FD3B9FA">
            <w:pPr>
              <w:spacing w:before="92"/>
              <w:jc w:val="center"/>
              <w:rPr>
                <w:rFonts w:hint="eastAsia" w:ascii="宋体" w:hAnsi="宋体" w:eastAsia="宋体" w:cs="宋体"/>
                <w:b/>
                <w:bCs/>
                <w:color w:val="010302"/>
              </w:rPr>
            </w:pPr>
            <w:r>
              <w:rPr>
                <w:rFonts w:hint="eastAsia" w:ascii="宋体" w:hAnsi="宋体" w:eastAsia="宋体" w:cs="宋体"/>
                <w:b/>
                <w:bCs/>
                <w:color w:val="000000"/>
                <w:sz w:val="21"/>
                <w:szCs w:val="21"/>
                <w:lang w:val="en-US" w:eastAsia="zh-CN"/>
              </w:rPr>
              <w:t>指令类型</w:t>
            </w:r>
          </w:p>
        </w:tc>
        <w:tc>
          <w:tcPr>
            <w:tcW w:w="1698" w:type="dxa"/>
          </w:tcPr>
          <w:p w14:paraId="424246C8">
            <w:pPr>
              <w:spacing w:before="92"/>
              <w:ind w:firstLine="113"/>
              <w:jc w:val="center"/>
              <w:rPr>
                <w:rFonts w:hint="eastAsia" w:ascii="宋体" w:hAnsi="宋体" w:eastAsia="宋体" w:cs="宋体"/>
                <w:b/>
                <w:bCs/>
                <w:color w:val="010302"/>
                <w:lang w:val="en-US" w:eastAsia="zh-CN"/>
              </w:rPr>
            </w:pPr>
            <w:r>
              <w:rPr>
                <w:rFonts w:hint="eastAsia" w:ascii="宋体" w:hAnsi="宋体" w:eastAsia="宋体" w:cs="宋体"/>
                <w:b/>
                <w:bCs/>
                <w:color w:val="000000"/>
                <w:sz w:val="21"/>
                <w:szCs w:val="21"/>
                <w:lang w:val="en-US" w:eastAsia="zh-CN"/>
              </w:rPr>
              <w:t>市场</w:t>
            </w:r>
          </w:p>
        </w:tc>
        <w:tc>
          <w:tcPr>
            <w:tcW w:w="2121" w:type="dxa"/>
          </w:tcPr>
          <w:p w14:paraId="13DDD829">
            <w:pPr>
              <w:spacing w:before="92"/>
              <w:ind w:firstLine="113"/>
              <w:jc w:val="center"/>
              <w:rPr>
                <w:rFonts w:hint="eastAsia" w:ascii="宋体" w:hAnsi="宋体" w:eastAsia="宋体" w:cs="宋体"/>
                <w:b/>
                <w:bCs/>
                <w:color w:val="010302"/>
                <w:lang w:val="en-US"/>
              </w:rPr>
            </w:pPr>
            <w:r>
              <w:rPr>
                <w:rFonts w:hint="eastAsia" w:ascii="宋体" w:hAnsi="宋体" w:eastAsia="宋体" w:cs="宋体"/>
                <w:b/>
                <w:bCs/>
                <w:color w:val="000000"/>
                <w:sz w:val="21"/>
                <w:szCs w:val="21"/>
                <w:lang w:val="en-US" w:eastAsia="zh-CN"/>
              </w:rPr>
              <w:t>品种</w:t>
            </w:r>
          </w:p>
        </w:tc>
        <w:tc>
          <w:tcPr>
            <w:tcW w:w="2828" w:type="dxa"/>
          </w:tcPr>
          <w:p w14:paraId="66AFE8CB">
            <w:pPr>
              <w:spacing w:before="92"/>
              <w:ind w:firstLine="113"/>
              <w:jc w:val="center"/>
              <w:rPr>
                <w:rFonts w:hint="eastAsia" w:ascii="宋体" w:hAnsi="宋体" w:eastAsia="宋体" w:cs="宋体"/>
                <w:b/>
                <w:bCs/>
                <w:color w:val="010302"/>
                <w:lang w:val="en-US" w:eastAsia="zh-CN"/>
              </w:rPr>
            </w:pPr>
            <w:r>
              <w:rPr>
                <w:rFonts w:hint="eastAsia" w:ascii="宋体" w:hAnsi="宋体" w:eastAsia="宋体" w:cs="宋体"/>
                <w:b/>
                <w:bCs/>
                <w:color w:val="000000"/>
                <w:sz w:val="21"/>
                <w:szCs w:val="21"/>
                <w:lang w:val="en-US" w:eastAsia="zh-CN"/>
              </w:rPr>
              <w:t>交易类型</w:t>
            </w:r>
          </w:p>
        </w:tc>
      </w:tr>
      <w:tr w14:paraId="5928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551" w:type="dxa"/>
            <w:vAlign w:val="top"/>
          </w:tcPr>
          <w:p w14:paraId="2BEA6CC9">
            <w:pPr>
              <w:spacing w:before="92"/>
              <w:ind w:left="93" w:left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个股</w:t>
            </w:r>
            <w:r>
              <w:rPr>
                <w:rFonts w:hint="eastAsia" w:ascii="宋体" w:hAnsi="宋体" w:eastAsia="宋体" w:cs="宋体"/>
                <w:color w:val="000000"/>
                <w:spacing w:val="-2"/>
                <w:sz w:val="21"/>
                <w:szCs w:val="21"/>
              </w:rPr>
              <w:t>指令</w:t>
            </w:r>
          </w:p>
        </w:tc>
        <w:tc>
          <w:tcPr>
            <w:tcW w:w="1698" w:type="dxa"/>
            <w:vAlign w:val="top"/>
          </w:tcPr>
          <w:p w14:paraId="70C2D6B7">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上海</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深圳</w:t>
            </w:r>
          </w:p>
        </w:tc>
        <w:tc>
          <w:tcPr>
            <w:tcW w:w="2121" w:type="dxa"/>
            <w:vAlign w:val="top"/>
          </w:tcPr>
          <w:p w14:paraId="343C6ECA">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lang w:eastAsia="zh-CN"/>
              </w:rPr>
              <w:t>ETF</w:t>
            </w:r>
            <w:r>
              <w:rPr>
                <w:rFonts w:hint="eastAsia" w:ascii="宋体" w:hAnsi="宋体" w:eastAsia="宋体" w:cs="宋体"/>
                <w:color w:val="000000"/>
                <w:sz w:val="21"/>
                <w:szCs w:val="21"/>
              </w:rPr>
              <w:t>基</w:t>
            </w:r>
            <w:r>
              <w:rPr>
                <w:rFonts w:hint="eastAsia" w:ascii="宋体" w:hAnsi="宋体" w:eastAsia="宋体" w:cs="宋体"/>
                <w:color w:val="000000"/>
                <w:spacing w:val="-2"/>
                <w:sz w:val="21"/>
                <w:szCs w:val="21"/>
              </w:rPr>
              <w:t>金</w:t>
            </w:r>
          </w:p>
        </w:tc>
        <w:tc>
          <w:tcPr>
            <w:tcW w:w="2828" w:type="dxa"/>
            <w:vAlign w:val="top"/>
          </w:tcPr>
          <w:p w14:paraId="1C6305AB">
            <w:pPr>
              <w:spacing w:before="92"/>
              <w:ind w:firstLine="113" w:firstLineChars="0"/>
              <w:jc w:val="center"/>
              <w:rPr>
                <w:rFonts w:hint="eastAsia" w:ascii="宋体" w:hAnsi="宋体" w:eastAsia="宋体" w:cs="宋体"/>
                <w:color w:val="010302"/>
                <w:kern w:val="2"/>
                <w:sz w:val="21"/>
                <w:szCs w:val="24"/>
                <w:lang w:val="en-US" w:eastAsia="zh-CN" w:bidi="ar-SA"/>
              </w:rPr>
            </w:pPr>
            <w:r>
              <w:rPr>
                <w:rFonts w:hint="eastAsia" w:ascii="宋体" w:hAnsi="宋体" w:eastAsia="宋体" w:cs="宋体"/>
                <w:color w:val="000000"/>
                <w:sz w:val="21"/>
                <w:szCs w:val="21"/>
              </w:rPr>
              <w:t>买入</w:t>
            </w:r>
            <w:r>
              <w:rPr>
                <w:rFonts w:hint="eastAsia" w:ascii="宋体" w:hAnsi="宋体" w:eastAsia="宋体" w:cs="宋体"/>
                <w:color w:val="000000"/>
                <w:spacing w:val="-2"/>
                <w:sz w:val="21"/>
                <w:szCs w:val="21"/>
              </w:rPr>
              <w:t>、</w:t>
            </w:r>
            <w:r>
              <w:rPr>
                <w:rFonts w:hint="eastAsia" w:ascii="宋体" w:hAnsi="宋体" w:eastAsia="宋体" w:cs="宋体"/>
                <w:color w:val="000000"/>
                <w:sz w:val="21"/>
                <w:szCs w:val="21"/>
              </w:rPr>
              <w:t>卖</w:t>
            </w:r>
            <w:r>
              <w:rPr>
                <w:rFonts w:hint="eastAsia" w:ascii="宋体" w:hAnsi="宋体" w:eastAsia="宋体" w:cs="宋体"/>
                <w:color w:val="000000"/>
                <w:spacing w:val="-2"/>
                <w:sz w:val="21"/>
                <w:szCs w:val="21"/>
              </w:rPr>
              <w:t>出</w:t>
            </w:r>
          </w:p>
        </w:tc>
      </w:tr>
    </w:tbl>
    <w:p w14:paraId="794A6EB0">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1" w:name="_Toc25435"/>
      <w:r>
        <w:rPr>
          <w:rFonts w:hint="eastAsia" w:ascii="宋体" w:hAnsi="宋体" w:eastAsia="宋体" w:cs="宋体"/>
          <w:sz w:val="28"/>
          <w:szCs w:val="28"/>
          <w:lang w:val="en-US" w:eastAsia="zh-CN"/>
        </w:rPr>
        <w:t>指令下达</w:t>
      </w:r>
      <w:bookmarkEnd w:id="31"/>
    </w:p>
    <w:p w14:paraId="6F59C15D">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个股指令下达</w:t>
      </w:r>
    </w:p>
    <w:p w14:paraId="1113957A">
      <w:pPr>
        <w:pStyle w:val="6"/>
        <w:keepNext/>
        <w:keepLines/>
        <w:pageBreakBefore w:val="0"/>
        <w:widowControl w:val="0"/>
        <w:numPr>
          <w:ilvl w:val="4"/>
          <w:numId w:val="2"/>
        </w:numPr>
        <w:kinsoku/>
        <w:wordWrap/>
        <w:overflowPunct/>
        <w:topLinePunct w:val="0"/>
        <w:autoSpaceDE/>
        <w:autoSpaceDN/>
        <w:bidi w:val="0"/>
        <w:adjustRightInd/>
        <w:snapToGrid/>
        <w:spacing w:before="157" w:beforeLines="50" w:after="157" w:afterLines="50" w:line="240" w:lineRule="auto"/>
        <w:ind w:left="991" w:leftChars="0" w:hanging="991"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参数释义</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996"/>
      </w:tblGrid>
      <w:tr w14:paraId="219F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3A7BF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参数</w:t>
            </w:r>
          </w:p>
        </w:tc>
        <w:tc>
          <w:tcPr>
            <w:tcW w:w="6996" w:type="dxa"/>
          </w:tcPr>
          <w:p w14:paraId="06DE3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说明</w:t>
            </w:r>
          </w:p>
        </w:tc>
      </w:tr>
      <w:tr w14:paraId="09AD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top"/>
          </w:tcPr>
          <w:p w14:paraId="7748F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4"/>
                <w:vertAlign w:val="baseline"/>
                <w:lang w:val="en-US" w:eastAsia="zh-CN" w:bidi="ar-SA"/>
              </w:rPr>
            </w:pPr>
            <w:r>
              <w:rPr>
                <w:rFonts w:hint="eastAsia" w:ascii="宋体" w:hAnsi="宋体" w:eastAsia="宋体" w:cs="宋体"/>
                <w:vertAlign w:val="baseline"/>
                <w:lang w:val="en-US" w:eastAsia="zh-CN"/>
              </w:rPr>
              <w:t>证券代码</w:t>
            </w:r>
          </w:p>
        </w:tc>
        <w:tc>
          <w:tcPr>
            <w:tcW w:w="6996" w:type="dxa"/>
            <w:vAlign w:val="top"/>
          </w:tcPr>
          <w:p w14:paraId="0F66839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4"/>
                <w:vertAlign w:val="baseline"/>
                <w:lang w:val="en-US" w:eastAsia="zh-CN" w:bidi="ar-SA"/>
              </w:rPr>
            </w:pPr>
            <w:r>
              <w:rPr>
                <w:rFonts w:hint="eastAsia" w:ascii="宋体" w:hAnsi="宋体" w:eastAsia="宋体" w:cs="宋体"/>
                <w:vertAlign w:val="baseline"/>
                <w:lang w:val="en-US" w:eastAsia="zh-CN"/>
              </w:rPr>
              <w:t>必填，支持模糊匹配</w:t>
            </w:r>
          </w:p>
        </w:tc>
      </w:tr>
      <w:tr w14:paraId="709E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82FBA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指令方向</w:t>
            </w:r>
          </w:p>
        </w:tc>
        <w:tc>
          <w:tcPr>
            <w:tcW w:w="6996" w:type="dxa"/>
          </w:tcPr>
          <w:p w14:paraId="049B40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必填，枚举值：买入、卖出</w:t>
            </w:r>
          </w:p>
        </w:tc>
      </w:tr>
      <w:tr w14:paraId="2026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12CBA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报价类型</w:t>
            </w:r>
          </w:p>
        </w:tc>
        <w:tc>
          <w:tcPr>
            <w:tcW w:w="6996" w:type="dxa"/>
          </w:tcPr>
          <w:p w14:paraId="296743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必选</w:t>
            </w:r>
          </w:p>
          <w:p w14:paraId="7F63BE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限价：指令模式为普通交易复核和主动管理时，可选限价  </w:t>
            </w:r>
          </w:p>
          <w:p w14:paraId="3EDB9F5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不限价：指令模式为主动管理时，可选不限价  </w:t>
            </w:r>
          </w:p>
          <w:p w14:paraId="2BE459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市价：本方最优、对手方最优、即成剩撤、全额成交或撤、五档即成剩撤。指令模式为普通交易复核时，可选市价类型 </w:t>
            </w:r>
          </w:p>
        </w:tc>
      </w:tr>
      <w:tr w14:paraId="67D6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22805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指令价格</w:t>
            </w:r>
          </w:p>
        </w:tc>
        <w:tc>
          <w:tcPr>
            <w:tcW w:w="6996" w:type="dxa"/>
          </w:tcPr>
          <w:p w14:paraId="79F0206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w:t>
            </w:r>
          </w:p>
        </w:tc>
      </w:tr>
      <w:tr w14:paraId="79B4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8388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目标类型</w:t>
            </w:r>
          </w:p>
        </w:tc>
        <w:tc>
          <w:tcPr>
            <w:tcW w:w="6996" w:type="dxa"/>
          </w:tcPr>
          <w:p w14:paraId="438C41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必选</w:t>
            </w:r>
          </w:p>
          <w:p w14:paraId="573754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1）当指令方向为买入时，选项包括：  </w:t>
            </w:r>
          </w:p>
          <w:p w14:paraId="1CA79EA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按委托总股数  </w:t>
            </w:r>
          </w:p>
          <w:p w14:paraId="18D63C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按委托总金额  </w:t>
            </w:r>
          </w:p>
          <w:p w14:paraId="420539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按总资产占比  </w:t>
            </w:r>
          </w:p>
          <w:p w14:paraId="283727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按可用资金比例  </w:t>
            </w:r>
          </w:p>
          <w:p w14:paraId="318ED6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2）当指令方向为卖出时，选项包括：  </w:t>
            </w:r>
          </w:p>
          <w:p w14:paraId="07360F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按委托总股数  </w:t>
            </w:r>
          </w:p>
          <w:p w14:paraId="38CF822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 按可卖数量比例  </w:t>
            </w:r>
          </w:p>
        </w:tc>
      </w:tr>
      <w:tr w14:paraId="62F5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51131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指令数量</w:t>
            </w:r>
          </w:p>
        </w:tc>
        <w:tc>
          <w:tcPr>
            <w:tcW w:w="6996" w:type="dxa"/>
          </w:tcPr>
          <w:p w14:paraId="32D2CB3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必填</w:t>
            </w:r>
          </w:p>
          <w:p w14:paraId="061F97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1）当目标类型为按委托总股数时，指令数量单位为股；  </w:t>
            </w:r>
          </w:p>
          <w:p w14:paraId="78FF35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2）当目标类型为按委托总金额时，指令数量单位为元。  </w:t>
            </w:r>
          </w:p>
        </w:tc>
      </w:tr>
      <w:tr w14:paraId="3C80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39011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目标比例</w:t>
            </w:r>
          </w:p>
        </w:tc>
        <w:tc>
          <w:tcPr>
            <w:tcW w:w="6996" w:type="dxa"/>
          </w:tcPr>
          <w:p w14:paraId="496B7E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必填。 </w:t>
            </w:r>
          </w:p>
          <w:p w14:paraId="7214565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当目标类型为按总资产占比、按可用资金比例、按可卖数量比例时，该字 </w:t>
            </w:r>
          </w:p>
          <w:p w14:paraId="6F5D99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段必填。</w:t>
            </w:r>
          </w:p>
        </w:tc>
      </w:tr>
      <w:tr w14:paraId="7696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B5EC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分配策略</w:t>
            </w:r>
          </w:p>
        </w:tc>
        <w:tc>
          <w:tcPr>
            <w:tcW w:w="6996" w:type="dxa"/>
          </w:tcPr>
          <w:p w14:paraId="3E2D99E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必选。目标类型选择按委托总股数、按委托总金额时，可选择该字段：  </w:t>
            </w:r>
          </w:p>
          <w:p w14:paraId="73745D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顺序分配：各资金账号的指令数量=min(可买or可卖数量，指令数量)  </w:t>
            </w:r>
          </w:p>
          <w:p w14:paraId="4F5FFC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按可用金额比例分配：各资金账号的指令数量=min(可买or可卖数量， </w:t>
            </w:r>
          </w:p>
          <w:p w14:paraId="4C57D7A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指令数量*可用金额占比)  </w:t>
            </w:r>
          </w:p>
          <w:p w14:paraId="1841519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总资产比例分配：各资金账号的指令数量=min(可买or可卖数量，指 </w:t>
            </w:r>
          </w:p>
          <w:p w14:paraId="647945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令数量*总资产占比)  </w:t>
            </w:r>
          </w:p>
          <w:p w14:paraId="04BD43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自定义比例分配：各资金账号的指令数量=min(可买or可卖数量，指 </w:t>
            </w:r>
          </w:p>
          <w:p w14:paraId="7DDDFB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令数量*自定义比例)  </w:t>
            </w:r>
          </w:p>
        </w:tc>
      </w:tr>
      <w:tr w14:paraId="45FD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15AD9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分配给</w:t>
            </w:r>
          </w:p>
        </w:tc>
        <w:tc>
          <w:tcPr>
            <w:tcW w:w="6996" w:type="dxa"/>
          </w:tcPr>
          <w:p w14:paraId="1708E8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默认不指定，即下一节点所有用户均可处理该指令；  </w:t>
            </w:r>
          </w:p>
          <w:p w14:paraId="3FFA544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如选择下一指令节点指定用户，则仅指定用户可处理该指令。</w:t>
            </w:r>
          </w:p>
        </w:tc>
      </w:tr>
      <w:tr w14:paraId="2D66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F570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指令模式</w:t>
            </w:r>
          </w:p>
        </w:tc>
        <w:tc>
          <w:tcPr>
            <w:tcW w:w="6996" w:type="dxa"/>
          </w:tcPr>
          <w:p w14:paraId="60D4F1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主动模式时：默认展示主动管理，不可选择；  </w:t>
            </w:r>
          </w:p>
          <w:p w14:paraId="6D68770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复核模式时：可选择普通交易复核</w:t>
            </w:r>
          </w:p>
        </w:tc>
      </w:tr>
      <w:tr w14:paraId="1927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26814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到期日期</w:t>
            </w:r>
          </w:p>
        </w:tc>
        <w:tc>
          <w:tcPr>
            <w:tcW w:w="6996" w:type="dxa"/>
          </w:tcPr>
          <w:p w14:paraId="28B2552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主动模式时：默认展示当日，可选择未来3个月时间，即跨日指令  </w:t>
            </w:r>
          </w:p>
          <w:p w14:paraId="66C174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复核模式时：展示当日，不可编辑，不支持跨日</w:t>
            </w:r>
          </w:p>
        </w:tc>
      </w:tr>
      <w:tr w14:paraId="095F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44711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指令备注</w:t>
            </w:r>
          </w:p>
        </w:tc>
        <w:tc>
          <w:tcPr>
            <w:tcW w:w="6996" w:type="dxa"/>
          </w:tcPr>
          <w:p w14:paraId="1DF19E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选填</w:t>
            </w:r>
          </w:p>
        </w:tc>
      </w:tr>
    </w:tbl>
    <w:p w14:paraId="3ABB7222">
      <w:pPr>
        <w:rPr>
          <w:rFonts w:hint="eastAsia" w:ascii="宋体" w:hAnsi="宋体" w:eastAsia="宋体" w:cs="宋体"/>
          <w:lang w:val="en-US" w:eastAsia="zh-CN"/>
        </w:rPr>
      </w:pPr>
    </w:p>
    <w:p w14:paraId="2B6C159C">
      <w:pPr>
        <w:pStyle w:val="6"/>
        <w:keepNext/>
        <w:keepLines/>
        <w:pageBreakBefore w:val="0"/>
        <w:widowControl w:val="0"/>
        <w:numPr>
          <w:ilvl w:val="4"/>
          <w:numId w:val="2"/>
        </w:numPr>
        <w:kinsoku/>
        <w:wordWrap/>
        <w:overflowPunct/>
        <w:topLinePunct w:val="0"/>
        <w:autoSpaceDE/>
        <w:autoSpaceDN/>
        <w:bidi w:val="0"/>
        <w:adjustRightInd/>
        <w:snapToGrid/>
        <w:spacing w:before="157" w:beforeLines="50" w:after="157" w:afterLines="50" w:line="240" w:lineRule="auto"/>
        <w:ind w:left="991" w:leftChars="0" w:hanging="991"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操作说明</w:t>
      </w:r>
    </w:p>
    <w:p w14:paraId="66BBA052">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入口：【指令流程】-&gt;【指令下达】-&gt;【个股下达】；</w:t>
      </w:r>
    </w:p>
    <w:p w14:paraId="4C5D5F81">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选择资金账号；  </w:t>
      </w:r>
    </w:p>
    <w:p w14:paraId="549BFED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编辑指令要素，要素说明见《4.3.2.1.1参数释义》;  </w:t>
      </w:r>
    </w:p>
    <w:p w14:paraId="1436B04E">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点击指令下达按钮；  </w:t>
      </w:r>
    </w:p>
    <w:p w14:paraId="611B4B9C">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弹框点击确认即完成指令下达。</w:t>
      </w:r>
    </w:p>
    <w:p w14:paraId="602C2CED">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2" w:name="_Toc17799"/>
      <w:r>
        <w:rPr>
          <w:rFonts w:hint="eastAsia" w:ascii="宋体" w:hAnsi="宋体" w:eastAsia="宋体" w:cs="宋体"/>
          <w:sz w:val="28"/>
          <w:szCs w:val="28"/>
          <w:lang w:val="en-US" w:eastAsia="zh-CN"/>
        </w:rPr>
        <w:t>指令审批</w:t>
      </w:r>
      <w:bookmarkEnd w:id="32"/>
    </w:p>
    <w:p w14:paraId="4B36A83E">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入口：【指令流程】-&gt;【指令审批】；  </w:t>
      </w:r>
    </w:p>
    <w:p w14:paraId="4A9A251D">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选择需要审批的指令，可多选；  </w:t>
      </w:r>
    </w:p>
    <w:p w14:paraId="6E1BC86D">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点击指令审批通过或者指令拒绝按钮；  </w:t>
      </w:r>
    </w:p>
    <w:p w14:paraId="2B8DD7A5">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如点击指令审批通过，选择下一节点人员；  </w:t>
      </w:r>
    </w:p>
    <w:p w14:paraId="2F4B5028">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点击确认，即可完成指令审批。</w:t>
      </w:r>
    </w:p>
    <w:p w14:paraId="551C8D6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3" w:name="_Toc18392"/>
      <w:r>
        <w:rPr>
          <w:rFonts w:hint="eastAsia" w:ascii="宋体" w:hAnsi="宋体" w:eastAsia="宋体" w:cs="宋体"/>
          <w:sz w:val="28"/>
          <w:szCs w:val="28"/>
          <w:lang w:val="en-US" w:eastAsia="zh-CN"/>
        </w:rPr>
        <w:t>指令分发</w:t>
      </w:r>
      <w:bookmarkEnd w:id="33"/>
    </w:p>
    <w:p w14:paraId="36FAA4AA">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入口：【指令流程】-&gt;【指令分发】；  </w:t>
      </w:r>
    </w:p>
    <w:p w14:paraId="08BAFD5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选择需要分发的指令，可多选；  </w:t>
      </w:r>
    </w:p>
    <w:p w14:paraId="559DB27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点击指令分发或者指令拒绝按钮；  </w:t>
      </w:r>
    </w:p>
    <w:p w14:paraId="2216C845">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如点击指令分发，选择下一节点人员；  </w:t>
      </w:r>
    </w:p>
    <w:p w14:paraId="435143FD">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点击确认，即可完成指令分发。</w:t>
      </w:r>
    </w:p>
    <w:p w14:paraId="1C6DED0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4" w:name="_Toc20442"/>
      <w:r>
        <w:rPr>
          <w:rFonts w:hint="eastAsia" w:ascii="宋体" w:hAnsi="宋体" w:eastAsia="宋体" w:cs="宋体"/>
          <w:sz w:val="28"/>
          <w:szCs w:val="28"/>
          <w:lang w:val="en-US" w:eastAsia="zh-CN"/>
        </w:rPr>
        <w:t>指令执行</w:t>
      </w:r>
      <w:bookmarkEnd w:id="34"/>
    </w:p>
    <w:p w14:paraId="7CC89A42">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主动执行</w:t>
      </w:r>
    </w:p>
    <w:p w14:paraId="4F8E88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个股指令主动执行操作步骤如下：</w:t>
      </w:r>
    </w:p>
    <w:p w14:paraId="63BBEE7F">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入口：【指令流程】-&gt;【指令执行】-&gt;【主动执行】；  </w:t>
      </w:r>
    </w:p>
    <w:p w14:paraId="2C8980B4">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双击待执行的指令；  </w:t>
      </w:r>
    </w:p>
    <w:p w14:paraId="3DCDAF9B">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在执行面板编辑委托价格、委托数量。 </w:t>
      </w:r>
    </w:p>
    <w:p w14:paraId="7F5430E8">
      <w:pPr>
        <w:pStyle w:val="5"/>
        <w:keepNext/>
        <w:keepLines/>
        <w:pageBreakBefore w:val="0"/>
        <w:widowControl w:val="0"/>
        <w:numPr>
          <w:ilvl w:val="3"/>
          <w:numId w:val="2"/>
        </w:numPr>
        <w:kinsoku/>
        <w:wordWrap/>
        <w:overflowPunct/>
        <w:topLinePunct w:val="0"/>
        <w:autoSpaceDE/>
        <w:autoSpaceDN/>
        <w:bidi w:val="0"/>
        <w:adjustRightInd/>
        <w:snapToGrid/>
        <w:spacing w:before="120" w:after="120" w:line="240" w:lineRule="auto"/>
        <w:ind w:left="850" w:leftChars="0" w:hanging="85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复核执行</w:t>
      </w:r>
    </w:p>
    <w:p w14:paraId="2FEE32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个股指令复核执行操作步骤如 下：  </w:t>
      </w:r>
    </w:p>
    <w:p w14:paraId="0F0B95E2">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入口：【指令流程】-&gt;【指令执行】-&gt;【复核执行】；  </w:t>
      </w:r>
    </w:p>
    <w:p w14:paraId="0BE0B6C3">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双击待执行的指令；  </w:t>
      </w:r>
    </w:p>
    <w:p w14:paraId="38B671EA">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执行面板的指令要素进行核对，不可编辑；  </w:t>
      </w:r>
    </w:p>
    <w:p w14:paraId="6D532375">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如指令下达时设置算法，可点击查看算法参数按钮进行算法参数校验；  </w:t>
      </w:r>
    </w:p>
    <w:p w14:paraId="4054292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点击通过后弹框继续点击下单。  </w:t>
      </w:r>
    </w:p>
    <w:p w14:paraId="2EBD1934">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5" w:name="_Toc11940"/>
      <w:r>
        <w:rPr>
          <w:rFonts w:hint="eastAsia" w:ascii="宋体" w:hAnsi="宋体" w:eastAsia="宋体" w:cs="宋体"/>
          <w:sz w:val="28"/>
          <w:szCs w:val="28"/>
          <w:lang w:val="en-US" w:eastAsia="zh-CN"/>
        </w:rPr>
        <w:t>指令撤销</w:t>
      </w:r>
      <w:bookmarkEnd w:id="35"/>
    </w:p>
    <w:p w14:paraId="5389F2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指令下达员可对自己下达的指令进行撤销。  </w:t>
      </w:r>
    </w:p>
    <w:p w14:paraId="25EB033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入口：【指令流程】-&gt;【指令下达】-&gt;各指令下达菜单入口；  </w:t>
      </w:r>
    </w:p>
    <w:p w14:paraId="0BD3D86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点击指令管理组件；  </w:t>
      </w:r>
    </w:p>
    <w:p w14:paraId="7A14539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勾选需要撤销的指令，可多选；  </w:t>
      </w:r>
    </w:p>
    <w:p w14:paraId="66B94F1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点击撤销按钮；  </w:t>
      </w:r>
    </w:p>
    <w:p w14:paraId="2548D58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弹框点击确认，即可展示撤销结果。</w:t>
      </w:r>
    </w:p>
    <w:p w14:paraId="7348A3A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6" w:name="_Toc708"/>
      <w:r>
        <w:rPr>
          <w:rFonts w:hint="eastAsia" w:ascii="宋体" w:hAnsi="宋体" w:eastAsia="宋体" w:cs="宋体"/>
          <w:sz w:val="28"/>
          <w:szCs w:val="28"/>
          <w:lang w:val="en-US" w:eastAsia="zh-CN"/>
        </w:rPr>
        <w:t>运营管理</w:t>
      </w:r>
      <w:bookmarkEnd w:id="36"/>
    </w:p>
    <w:p w14:paraId="082F8BE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37" w:name="_Toc30232"/>
      <w:r>
        <w:rPr>
          <w:rFonts w:hint="eastAsia" w:ascii="宋体" w:hAnsi="宋体" w:eastAsia="宋体" w:cs="宋体"/>
          <w:sz w:val="28"/>
          <w:szCs w:val="28"/>
          <w:lang w:val="en-US" w:eastAsia="zh-CN"/>
        </w:rPr>
        <w:t>消息中心</w:t>
      </w:r>
      <w:bookmarkEnd w:id="37"/>
    </w:p>
    <w:p w14:paraId="0ED408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当前用户关联的全部资金账号接收到的消息通知，支持用户按产品、资金账号、消息类型、消息子类和阅读状态筛选列表消息。支持设置系统消息、指令消息、交易通知和组合交易通知的不同通知方式的开关，如下图所示：</w:t>
      </w:r>
    </w:p>
    <w:p w14:paraId="0A706923">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73040" cy="2654935"/>
            <wp:effectExtent l="0" t="0" r="3810" b="12065"/>
            <wp:docPr id="1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0"/>
                    <pic:cNvPicPr>
                      <a:picLocks noChangeAspect="1"/>
                    </pic:cNvPicPr>
                  </pic:nvPicPr>
                  <pic:blipFill>
                    <a:blip r:embed="rId114"/>
                    <a:stretch>
                      <a:fillRect/>
                    </a:stretch>
                  </pic:blipFill>
                  <pic:spPr>
                    <a:xfrm>
                      <a:off x="0" y="0"/>
                      <a:ext cx="5273040" cy="2654935"/>
                    </a:xfrm>
                    <a:prstGeom prst="rect">
                      <a:avLst/>
                    </a:prstGeom>
                    <a:noFill/>
                    <a:ln>
                      <a:noFill/>
                    </a:ln>
                  </pic:spPr>
                </pic:pic>
              </a:graphicData>
            </a:graphic>
          </wp:inline>
        </w:drawing>
      </w:r>
    </w:p>
    <w:p w14:paraId="5F51B09B">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38" w:name="_Toc18800"/>
      <w:r>
        <w:rPr>
          <w:rFonts w:hint="eastAsia" w:ascii="宋体" w:hAnsi="宋体" w:eastAsia="宋体" w:cs="宋体"/>
          <w:sz w:val="28"/>
          <w:szCs w:val="28"/>
          <w:lang w:val="en-US" w:eastAsia="zh-CN"/>
        </w:rPr>
        <w:t>收藏</w:t>
      </w:r>
      <w:bookmarkEnd w:id="38"/>
    </w:p>
    <w:p w14:paraId="3D1C8A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支持用户收藏二级菜单页面，实现快速访问。</w:t>
      </w:r>
    </w:p>
    <w:p w14:paraId="75A1E8D5">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39" w:name="_Toc4638"/>
      <w:r>
        <w:rPr>
          <w:rFonts w:hint="eastAsia" w:ascii="宋体" w:hAnsi="宋体" w:eastAsia="宋体" w:cs="宋体"/>
          <w:sz w:val="30"/>
          <w:szCs w:val="30"/>
          <w:lang w:val="en-US" w:eastAsia="zh-CN"/>
        </w:rPr>
        <w:t>行情</w:t>
      </w:r>
      <w:bookmarkEnd w:id="39"/>
    </w:p>
    <w:p w14:paraId="61B1D3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p>
    <w:p w14:paraId="1C7D5034">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40" w:name="_Toc20447"/>
      <w:r>
        <w:rPr>
          <w:rFonts w:hint="eastAsia" w:ascii="宋体" w:hAnsi="宋体" w:eastAsia="宋体" w:cs="宋体"/>
          <w:sz w:val="28"/>
          <w:szCs w:val="28"/>
          <w:lang w:val="en-US" w:eastAsia="zh-CN"/>
        </w:rPr>
        <w:t>期货行情</w:t>
      </w:r>
      <w:bookmarkEnd w:id="40"/>
    </w:p>
    <w:p w14:paraId="5D0B81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点击“行情-期货”，进入期货行情页面，页面展示中金所、上期所、上能源、大商所、郑商所、广期所等国内6大交易所所有期货合约实时行情数据。</w:t>
      </w:r>
    </w:p>
    <w:p w14:paraId="0DC27BA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drawing>
          <wp:inline distT="0" distB="0" distL="114300" distR="114300">
            <wp:extent cx="5266690" cy="262064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15"/>
                    <a:srcRect t="7425"/>
                    <a:stretch>
                      <a:fillRect/>
                    </a:stretch>
                  </pic:blipFill>
                  <pic:spPr>
                    <a:xfrm>
                      <a:off x="0" y="0"/>
                      <a:ext cx="5266690" cy="2620645"/>
                    </a:xfrm>
                    <a:prstGeom prst="rect">
                      <a:avLst/>
                    </a:prstGeom>
                    <a:noFill/>
                    <a:ln>
                      <a:noFill/>
                    </a:ln>
                  </pic:spPr>
                </pic:pic>
              </a:graphicData>
            </a:graphic>
          </wp:inline>
        </w:drawing>
      </w:r>
    </w:p>
    <w:p w14:paraId="4158AC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页面顶部支持按交易所筛选展示合约标的，点击右上角主力，可以筛选出主力合约。页面右侧展示所选中合约标的的分时图和K线图。双击合约列表，跳转至合约详情页。</w:t>
      </w:r>
    </w:p>
    <w:p w14:paraId="510B712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41" w:name="_Toc28527"/>
      <w:r>
        <w:rPr>
          <w:rFonts w:hint="eastAsia" w:ascii="宋体" w:hAnsi="宋体" w:eastAsia="宋体" w:cs="宋体"/>
          <w:sz w:val="28"/>
          <w:szCs w:val="28"/>
          <w:lang w:val="en-US" w:eastAsia="zh-CN"/>
        </w:rPr>
        <w:t>期权行情</w:t>
      </w:r>
      <w:bookmarkEnd w:id="41"/>
    </w:p>
    <w:p w14:paraId="0E6CBF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点击“行情-期权”，进入期权行情页面，页面展示上交所、深交所、中金所、上期所、上能源、大商所、郑商所、广期所等国内8大交易所所有期权合约实时行情数据。</w:t>
      </w:r>
    </w:p>
    <w:p w14:paraId="452D559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630170"/>
            <wp:effectExtent l="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6"/>
                    <a:srcRect t="7088"/>
                    <a:stretch>
                      <a:fillRect/>
                    </a:stretch>
                  </pic:blipFill>
                  <pic:spPr>
                    <a:xfrm>
                      <a:off x="0" y="0"/>
                      <a:ext cx="5266690" cy="2630170"/>
                    </a:xfrm>
                    <a:prstGeom prst="rect">
                      <a:avLst/>
                    </a:prstGeom>
                    <a:noFill/>
                    <a:ln>
                      <a:noFill/>
                    </a:ln>
                  </pic:spPr>
                </pic:pic>
              </a:graphicData>
            </a:graphic>
          </wp:inline>
        </w:drawing>
      </w:r>
    </w:p>
    <w:p w14:paraId="6E6607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页面左侧菜单支持按交易所及品种筛选展示合约标的，页面右侧展示所选中合约标的的分时图和K线图。双击合约列表，跳转至合约详情页。</w:t>
      </w:r>
    </w:p>
    <w:p w14:paraId="3C8B49AD">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sz w:val="30"/>
          <w:szCs w:val="30"/>
          <w:lang w:val="en-US" w:eastAsia="zh-CN"/>
        </w:rPr>
      </w:pPr>
      <w:bookmarkStart w:id="42" w:name="_Toc26044"/>
      <w:r>
        <w:rPr>
          <w:rFonts w:hint="eastAsia" w:ascii="宋体" w:hAnsi="宋体" w:eastAsia="宋体" w:cs="宋体"/>
          <w:sz w:val="30"/>
          <w:szCs w:val="30"/>
          <w:lang w:val="en-US" w:eastAsia="zh-CN"/>
        </w:rPr>
        <w:t>特色服务</w:t>
      </w:r>
      <w:bookmarkEnd w:id="42"/>
    </w:p>
    <w:p w14:paraId="7F2918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特色服务是MATIC系统为机构客户提供的相关服务，支持的功能如下：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6551"/>
      </w:tblGrid>
      <w:tr w14:paraId="236C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tcPr>
          <w:p w14:paraId="7DF3F3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w:t>
            </w:r>
          </w:p>
        </w:tc>
        <w:tc>
          <w:tcPr>
            <w:tcW w:w="6551" w:type="dxa"/>
          </w:tcPr>
          <w:p w14:paraId="3C2A28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功能描述</w:t>
            </w:r>
          </w:p>
        </w:tc>
      </w:tr>
      <w:tr w14:paraId="5B74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Align w:val="center"/>
          </w:tcPr>
          <w:p w14:paraId="6EFF5B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私募一体化</w:t>
            </w:r>
          </w:p>
        </w:tc>
        <w:tc>
          <w:tcPr>
            <w:tcW w:w="6551" w:type="dxa"/>
          </w:tcPr>
          <w:p w14:paraId="7A4B7154">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点击“特色服务-私募一体化”菜单进入私募一体化介绍页</w:t>
            </w:r>
          </w:p>
          <w:p w14:paraId="1002A211">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点击“申请使用”，可申请私募一体化系统账号</w:t>
            </w:r>
          </w:p>
          <w:p w14:paraId="11507091">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点击“进入系统”，可链接至私募一体化业务系统登录页（系统服务由第三方提供）  </w:t>
            </w:r>
          </w:p>
        </w:tc>
      </w:tr>
      <w:tr w14:paraId="3ED8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vAlign w:val="center"/>
          </w:tcPr>
          <w:p w14:paraId="69BE74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量化投研平台</w:t>
            </w:r>
          </w:p>
        </w:tc>
        <w:tc>
          <w:tcPr>
            <w:tcW w:w="6551" w:type="dxa"/>
          </w:tcPr>
          <w:p w14:paraId="456861E2">
            <w:pPr>
              <w:keepNext w:val="0"/>
              <w:keepLines w:val="0"/>
              <w:pageBreakBefore w:val="0"/>
              <w:widowControl w:val="0"/>
              <w:numPr>
                <w:ilvl w:val="0"/>
                <w:numId w:val="20"/>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点击“特色服务-量化投研平台”菜单进入量化投研平台介绍页</w:t>
            </w:r>
          </w:p>
          <w:p w14:paraId="021EE637">
            <w:pPr>
              <w:keepNext w:val="0"/>
              <w:keepLines w:val="0"/>
              <w:pageBreakBefore w:val="0"/>
              <w:widowControl w:val="0"/>
              <w:numPr>
                <w:ilvl w:val="0"/>
                <w:numId w:val="20"/>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 xml:space="preserve">点击“申请使用”，可申请量化投研平台资源服务（资源服务由第三方提供） </w:t>
            </w:r>
          </w:p>
        </w:tc>
      </w:tr>
      <w:tr w14:paraId="0E06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1" w:type="dxa"/>
          </w:tcPr>
          <w:p w14:paraId="2C6E67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低延时实验室</w:t>
            </w:r>
          </w:p>
        </w:tc>
        <w:tc>
          <w:tcPr>
            <w:tcW w:w="6551" w:type="dxa"/>
          </w:tcPr>
          <w:p w14:paraId="5F972F2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点击“特色服务-低延时实验室”菜单进入低延时实验室介绍页（具体服务由第三方提供）</w:t>
            </w:r>
          </w:p>
        </w:tc>
      </w:tr>
    </w:tbl>
    <w:p w14:paraId="78C1F718">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43" w:name="_Toc9614"/>
      <w:r>
        <w:rPr>
          <w:rFonts w:hint="eastAsia" w:ascii="宋体" w:hAnsi="宋体" w:eastAsia="宋体" w:cs="宋体"/>
          <w:sz w:val="28"/>
          <w:szCs w:val="28"/>
          <w:lang w:val="en-US" w:eastAsia="zh-CN"/>
        </w:rPr>
        <w:t>私募一体化</w:t>
      </w:r>
      <w:bookmarkEnd w:id="43"/>
    </w:p>
    <w:p w14:paraId="7AE222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私募一体化功能界面展示产品介绍、申请使用按钮和第三方系统跳转按钮。</w:t>
      </w:r>
    </w:p>
    <w:p w14:paraId="128B75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点击MATIC客户端上方特色服务-私募一体化菜单进入私募一体化介绍页面，具体页面如下：</w:t>
      </w:r>
    </w:p>
    <w:p w14:paraId="4219FA4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7"/>
                    <a:stretch>
                      <a:fillRect/>
                    </a:stretch>
                  </pic:blipFill>
                  <pic:spPr>
                    <a:xfrm>
                      <a:off x="0" y="0"/>
                      <a:ext cx="5266690" cy="2830830"/>
                    </a:xfrm>
                    <a:prstGeom prst="rect">
                      <a:avLst/>
                    </a:prstGeom>
                    <a:noFill/>
                    <a:ln>
                      <a:noFill/>
                    </a:ln>
                  </pic:spPr>
                </pic:pic>
              </a:graphicData>
            </a:graphic>
          </wp:inline>
        </w:drawing>
      </w:r>
    </w:p>
    <w:p w14:paraId="7B6B04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页面底部显示相关联系方式（微信号、QQ号、邮箱）、开户申请流程，及系统跳转按钮。点进开户申请流程下“申请账号”进入申请页，依照规范填写申请表，提交后等待审核，申请通过后会收到账号信息等信息反馈，具体流程如下：</w:t>
      </w:r>
    </w:p>
    <w:p w14:paraId="3D99287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drawing>
          <wp:inline distT="0" distB="0" distL="114300" distR="114300">
            <wp:extent cx="5266690" cy="2830830"/>
            <wp:effectExtent l="0" t="0" r="1016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8"/>
                    <a:stretch>
                      <a:fillRect/>
                    </a:stretch>
                  </pic:blipFill>
                  <pic:spPr>
                    <a:xfrm>
                      <a:off x="0" y="0"/>
                      <a:ext cx="5266690" cy="2830830"/>
                    </a:xfrm>
                    <a:prstGeom prst="rect">
                      <a:avLst/>
                    </a:prstGeom>
                    <a:noFill/>
                    <a:ln>
                      <a:noFill/>
                    </a:ln>
                  </pic:spPr>
                </pic:pic>
              </a:graphicData>
            </a:graphic>
          </wp:inline>
        </w:drawing>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5740"/>
      </w:tblGrid>
      <w:tr w14:paraId="3C47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7E5923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列表</w:t>
            </w:r>
          </w:p>
        </w:tc>
        <w:tc>
          <w:tcPr>
            <w:tcW w:w="5759" w:type="dxa"/>
          </w:tcPr>
          <w:p w14:paraId="59CAF2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参数要求</w:t>
            </w:r>
          </w:p>
        </w:tc>
      </w:tr>
      <w:tr w14:paraId="6609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73900F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公司名称</w:t>
            </w:r>
          </w:p>
        </w:tc>
        <w:tc>
          <w:tcPr>
            <w:tcW w:w="5759" w:type="dxa"/>
          </w:tcPr>
          <w:p w14:paraId="7B106E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字数&lt;=20字，必填</w:t>
            </w:r>
          </w:p>
        </w:tc>
      </w:tr>
      <w:tr w14:paraId="2633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3FE655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协会登记编号</w:t>
            </w:r>
          </w:p>
        </w:tc>
        <w:tc>
          <w:tcPr>
            <w:tcW w:w="5759" w:type="dxa"/>
          </w:tcPr>
          <w:p w14:paraId="077047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8位数字，必填</w:t>
            </w:r>
          </w:p>
        </w:tc>
      </w:tr>
      <w:tr w14:paraId="79FE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506EE0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姓名</w:t>
            </w:r>
          </w:p>
        </w:tc>
        <w:tc>
          <w:tcPr>
            <w:tcW w:w="5759" w:type="dxa"/>
          </w:tcPr>
          <w:p w14:paraId="73B57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字数&lt;=10字，必填</w:t>
            </w:r>
          </w:p>
        </w:tc>
      </w:tr>
      <w:tr w14:paraId="5FD9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0" w:type="dxa"/>
          </w:tcPr>
          <w:p w14:paraId="2E7644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lang w:val="en-US" w:eastAsia="zh-CN"/>
              </w:rPr>
            </w:pPr>
            <w:r>
              <w:rPr>
                <w:rFonts w:hint="eastAsia" w:ascii="宋体" w:hAnsi="宋体" w:eastAsia="宋体" w:cs="宋体"/>
                <w:lang w:val="en-US" w:eastAsia="zh-CN"/>
              </w:rPr>
              <w:t>手机号</w:t>
            </w:r>
          </w:p>
        </w:tc>
        <w:tc>
          <w:tcPr>
            <w:tcW w:w="5759" w:type="dxa"/>
          </w:tcPr>
          <w:p w14:paraId="50AE78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lang w:val="en-US" w:eastAsia="zh-CN"/>
              </w:rPr>
            </w:pPr>
            <w:r>
              <w:rPr>
                <w:rFonts w:hint="eastAsia" w:ascii="宋体" w:hAnsi="宋体" w:eastAsia="宋体" w:cs="宋体"/>
                <w:lang w:val="en-US" w:eastAsia="zh-CN"/>
              </w:rPr>
              <w:t>11位数字，必填</w:t>
            </w:r>
          </w:p>
        </w:tc>
      </w:tr>
    </w:tbl>
    <w:p w14:paraId="68E44C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同时，页面底部有“点击进入”按钮，点击按钮会跳转至私募一体化系统登录页，页面如下：</w:t>
      </w:r>
    </w:p>
    <w:p w14:paraId="20B656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rPr>
        <w:drawing>
          <wp:inline distT="0" distB="0" distL="114300" distR="114300">
            <wp:extent cx="5132070" cy="262763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9"/>
                    <a:stretch>
                      <a:fillRect/>
                    </a:stretch>
                  </pic:blipFill>
                  <pic:spPr>
                    <a:xfrm>
                      <a:off x="0" y="0"/>
                      <a:ext cx="5132070" cy="2627630"/>
                    </a:xfrm>
                    <a:prstGeom prst="rect">
                      <a:avLst/>
                    </a:prstGeom>
                    <a:noFill/>
                    <a:ln>
                      <a:noFill/>
                    </a:ln>
                  </pic:spPr>
                </pic:pic>
              </a:graphicData>
            </a:graphic>
          </wp:inline>
        </w:drawing>
      </w:r>
    </w:p>
    <w:p w14:paraId="5F12FF6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44" w:name="_Toc22744"/>
      <w:r>
        <w:rPr>
          <w:rFonts w:hint="eastAsia" w:ascii="宋体" w:hAnsi="宋体" w:eastAsia="宋体" w:cs="宋体"/>
          <w:sz w:val="28"/>
          <w:szCs w:val="28"/>
          <w:lang w:val="en-US" w:eastAsia="zh-CN"/>
        </w:rPr>
        <mc:AlternateContent>
          <mc:Choice Requires="wps">
            <w:drawing>
              <wp:anchor distT="0" distB="0" distL="114300" distR="114300" simplePos="0" relativeHeight="251692032" behindDoc="1" locked="0" layoutInCell="1" allowOverlap="1">
                <wp:simplePos x="0" y="0"/>
                <wp:positionH relativeFrom="page">
                  <wp:posOffset>1187450</wp:posOffset>
                </wp:positionH>
                <wp:positionV relativeFrom="page">
                  <wp:posOffset>4915535</wp:posOffset>
                </wp:positionV>
                <wp:extent cx="6350" cy="6350"/>
                <wp:effectExtent l="0" t="0" r="0" b="0"/>
                <wp:wrapNone/>
                <wp:docPr id="569" name="Freeform 569"/>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69" o:spid="_x0000_s1026" o:spt="100" style="position:absolute;left:0pt;margin-left:93.5pt;margin-top:387.05pt;height:0.5pt;width:0.5pt;mso-position-horizontal-relative:page;mso-position-vertical-relative:page;z-index:-251624448;mso-width-relative:page;mso-height-relative:page;" fillcolor="#000000" filled="t" stroked="f" coordsize="6096,6097" o:gfxdata="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EEH12AAAAAsBAAAPAAAAAAAAAAEAIAAAACIAAABk&#10;cnMvZG93bnJldi54bWxQSwECFAAUAAAACACHTuJAngXdND8CAAAQBQAADgAAAAAAAAABACAAAAAn&#10;AQAAZHJzL2Uyb0RvYy54bWxQSwUGAAAAAAYABgBZAQAA2AU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1008" behindDoc="1" locked="0" layoutInCell="1" allowOverlap="1">
                <wp:simplePos x="0" y="0"/>
                <wp:positionH relativeFrom="page">
                  <wp:posOffset>1187450</wp:posOffset>
                </wp:positionH>
                <wp:positionV relativeFrom="page">
                  <wp:posOffset>4915535</wp:posOffset>
                </wp:positionV>
                <wp:extent cx="6350" cy="6350"/>
                <wp:effectExtent l="0" t="0" r="0" b="0"/>
                <wp:wrapNone/>
                <wp:docPr id="570" name="Freeform 570"/>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0" o:spid="_x0000_s1026" o:spt="100" style="position:absolute;left:0pt;margin-left:93.5pt;margin-top:387.05pt;height:0.5pt;width:0.5pt;mso-position-horizontal-relative:page;mso-position-vertical-relative:page;z-index:-251625472;mso-width-relative:page;mso-height-relative:page;" fillcolor="#000000" filled="t" stroked="f" coordsize="6096,6097" o:gfxdata="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&#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QQfXYAAAACwEAAA8AAAAAAAAAAQAgAAAAIgAAAGRy&#10;cy9kb3ducmV2LnhtbFBLAQIUABQAAAAIAIdO4kCvbM5lPgIAABAFAAAOAAAAAAAAAAEAIAAAACcB&#10;AABkcnMvZTJvRG9jLnhtbFBLBQYAAAAABgAGAFkBAADXBQ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3056" behindDoc="1" locked="0" layoutInCell="1" allowOverlap="1">
                <wp:simplePos x="0" y="0"/>
                <wp:positionH relativeFrom="page">
                  <wp:posOffset>1905000</wp:posOffset>
                </wp:positionH>
                <wp:positionV relativeFrom="page">
                  <wp:posOffset>4915535</wp:posOffset>
                </wp:positionV>
                <wp:extent cx="6350" cy="6350"/>
                <wp:effectExtent l="0" t="0" r="0" b="0"/>
                <wp:wrapNone/>
                <wp:docPr id="571" name="Freeform 571"/>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1" o:spid="_x0000_s1026" o:spt="100" style="position:absolute;left:0pt;margin-left:150pt;margin-top:387.05pt;height:0.5pt;width:0.5pt;mso-position-horizontal-relative:page;mso-position-vertical-relative:page;z-index:-251623424;mso-width-relative:page;mso-height-relative:page;" fillcolor="#000000" filled="t" stroked="f" coordsize="6096,6097" o:gfxdata="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80CK9kAAAALAQAADwAAAAAAAAABACAAAAAiAAAA&#10;ZHJzL2Rvd25yZXYueG1sUEsBAhQAFAAAAAgAh07iQBudqkg/AgAAEAUAAA4AAAAAAAAAAQAgAAAA&#10;KAEAAGRycy9lMm9Eb2MueG1sUEsFBgAAAAAGAAYAWQEAANkFAAAAAA==&#10;" path="m0,6097l6096,6097,6096,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5104" behindDoc="0" locked="0" layoutInCell="1" allowOverlap="1">
                <wp:simplePos x="0" y="0"/>
                <wp:positionH relativeFrom="page">
                  <wp:posOffset>6367145</wp:posOffset>
                </wp:positionH>
                <wp:positionV relativeFrom="page">
                  <wp:posOffset>4915535</wp:posOffset>
                </wp:positionV>
                <wp:extent cx="6350" cy="6350"/>
                <wp:effectExtent l="0" t="0" r="0" b="0"/>
                <wp:wrapNone/>
                <wp:docPr id="572" name="Freeform 572"/>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2" o:spid="_x0000_s1026" o:spt="100" style="position:absolute;left:0pt;margin-left:501.35pt;margin-top:387.05pt;height:0.5pt;width:0.5pt;mso-position-horizontal-relative:page;mso-position-vertical-relative:page;z-index:251695104;mso-width-relative:page;mso-height-relative:page;" fillcolor="#000000" filled="t" stroked="f" coordsize="6097,6097" o:gfxdata="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GfxDYAAAADQEAAA8AAAAAAAAAAQAgAAAAIgAAAGRy&#10;cy9kb3ducmV2LnhtbFBLAQIUABQAAAAIAIdO4kB8YvdfPgIAABAFAAAOAAAAAAAAAAEAIAAAACcB&#10;AABkcnMvZTJvRG9jLnhtbFBLBQYAAAAABgAGAFkBAADXBQAAAAA=&#10;" path="m0,6097l6097,6097,6097,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mc:AlternateContent>
          <mc:Choice Requires="wps">
            <w:drawing>
              <wp:anchor distT="0" distB="0" distL="114300" distR="114300" simplePos="0" relativeHeight="251694080" behindDoc="0" locked="0" layoutInCell="1" allowOverlap="1">
                <wp:simplePos x="0" y="0"/>
                <wp:positionH relativeFrom="page">
                  <wp:posOffset>6367145</wp:posOffset>
                </wp:positionH>
                <wp:positionV relativeFrom="page">
                  <wp:posOffset>4915535</wp:posOffset>
                </wp:positionV>
                <wp:extent cx="6350" cy="6350"/>
                <wp:effectExtent l="0" t="0" r="0" b="0"/>
                <wp:wrapNone/>
                <wp:docPr id="573" name="Freeform 573"/>
                <wp:cNvGraphicFramePr/>
                <a:graphic xmlns:a="http://schemas.openxmlformats.org/drawingml/2006/main">
                  <a:graphicData uri="http://schemas.microsoft.com/office/word/2010/wordprocessingShape">
                    <wps:wsp>
                      <wps:cNvSpPr/>
                      <wps:spPr>
                        <a:xfrm>
                          <a:off x="0" y="0"/>
                          <a:ext cx="6350" cy="6350"/>
                        </a:xfrm>
                        <a:custGeom>
                          <a:avLst/>
                          <a:gdLst/>
                          <a:ahLst/>
                          <a:cxnLst/>
                          <a:rect l="l" t="t" r="r" b="b"/>
                          <a:pathLst>
                            <a:path w="6097" h="6097">
                              <a:moveTo>
                                <a:pt x="0" y="6097"/>
                              </a:moveTo>
                              <a:lnTo>
                                <a:pt x="6097" y="6097"/>
                              </a:lnTo>
                              <a:lnTo>
                                <a:pt x="6097"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573" o:spid="_x0000_s1026" o:spt="100" style="position:absolute;left:0pt;margin-left:501.35pt;margin-top:387.05pt;height:0.5pt;width:0.5pt;mso-position-horizontal-relative:page;mso-position-vertical-relative:page;z-index:251694080;mso-width-relative:page;mso-height-relative:page;" fillcolor="#000000" filled="t" stroked="f" coordsize="6097,6097" o:gfxdata="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MZ/ENgAAAANAQAADwAAAAAAAAABACAAAAAiAAAAZHJz&#10;L2Rvd25yZXYueG1sUEsBAhQAFAAAAAgAh07iQMiTk3I9AgAAEAUAAA4AAAAAAAAAAQAgAAAAJwEA&#10;AGRycy9lMm9Eb2MueG1sUEsFBgAAAAAGAAYAWQEAANYFAAAAAA==&#10;" path="m0,6097l6097,6097,6097,0,0,0,0,6097xe">
                <v:fill on="t" focussize="0,0"/>
                <v:stroke on="f" weight="1pt" miterlimit="8" joinstyle="miter"/>
                <v:imagedata o:title=""/>
                <o:lock v:ext="edit" aspectratio="f"/>
              </v:shape>
            </w:pict>
          </mc:Fallback>
        </mc:AlternateContent>
      </w:r>
      <w:r>
        <w:rPr>
          <w:rFonts w:hint="eastAsia" w:ascii="宋体" w:hAnsi="宋体" w:eastAsia="宋体" w:cs="宋体"/>
          <w:sz w:val="28"/>
          <w:szCs w:val="28"/>
          <w:lang w:val="en-US" w:eastAsia="zh-CN"/>
        </w:rPr>
        <w:t>量化投研平台</w:t>
      </w:r>
      <w:bookmarkEnd w:id="44"/>
    </w:p>
    <w:p w14:paraId="4BCF8C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量化投研平台功能界面展示相关产品介绍和申请使用按钮。</w:t>
      </w:r>
    </w:p>
    <w:p w14:paraId="5436F3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点击MATIC客户端上方特色服务-量化投研平台菜单可进入量化投研平台介绍界面，页面底部显示相关联系方式（微信号、QQ号、邮箱）、申请使用流程，及申请使用按钮。如图：</w:t>
      </w:r>
    </w:p>
    <w:p w14:paraId="5A1813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sz w:val="24"/>
          <w:szCs w:val="24"/>
          <w:lang w:val="en-US" w:eastAsia="zh-CN"/>
        </w:rPr>
      </w:pPr>
      <w:r>
        <w:drawing>
          <wp:inline distT="0" distB="0" distL="114300" distR="114300">
            <wp:extent cx="5266690" cy="2830830"/>
            <wp:effectExtent l="0" t="0" r="1016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0"/>
                    <a:stretch>
                      <a:fillRect/>
                    </a:stretch>
                  </pic:blipFill>
                  <pic:spPr>
                    <a:xfrm>
                      <a:off x="0" y="0"/>
                      <a:ext cx="5266690" cy="2830830"/>
                    </a:xfrm>
                    <a:prstGeom prst="rect">
                      <a:avLst/>
                    </a:prstGeom>
                    <a:noFill/>
                    <a:ln>
                      <a:noFill/>
                    </a:ln>
                  </pic:spPr>
                </pic:pic>
              </a:graphicData>
            </a:graphic>
          </wp:inline>
        </w:drawing>
      </w:r>
    </w:p>
    <w:p w14:paraId="7A0B38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页面底部可申请使用，点进申请流程下“申请使用”进入申请页，依照规范填写申请表，提交成功后有提示语提示“耐心等待”。每位客户最多填写10次，如超过次数弹框提示申请次数超过限制，具体流程如下：</w:t>
      </w:r>
    </w:p>
    <w:p w14:paraId="205923FF">
      <w:pPr>
        <w:keepNext w:val="0"/>
        <w:keepLines w:val="0"/>
        <w:pageBreakBefore w:val="0"/>
        <w:widowControl w:val="0"/>
        <w:kinsoku/>
        <w:wordWrap/>
        <w:overflowPunct/>
        <w:topLinePunct w:val="0"/>
        <w:autoSpaceDE/>
        <w:autoSpaceDN/>
        <w:bidi w:val="0"/>
        <w:adjustRightInd/>
        <w:snapToGrid/>
        <w:spacing w:line="360" w:lineRule="auto"/>
        <w:ind w:right="840" w:rightChars="400"/>
        <w:textAlignment w:val="auto"/>
        <w:rPr>
          <w:rFonts w:hint="eastAsia" w:ascii="宋体" w:hAnsi="宋体" w:eastAsia="宋体" w:cs="宋体"/>
        </w:rPr>
      </w:pPr>
      <w:r>
        <w:drawing>
          <wp:inline distT="0" distB="0" distL="114300" distR="114300">
            <wp:extent cx="5266690" cy="2830830"/>
            <wp:effectExtent l="0" t="0" r="1016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1"/>
                    <a:stretch>
                      <a:fillRect/>
                    </a:stretch>
                  </pic:blipFill>
                  <pic:spPr>
                    <a:xfrm>
                      <a:off x="0" y="0"/>
                      <a:ext cx="5266690" cy="2830830"/>
                    </a:xfrm>
                    <a:prstGeom prst="rect">
                      <a:avLst/>
                    </a:prstGeom>
                    <a:noFill/>
                    <a:ln>
                      <a:noFill/>
                    </a:ln>
                  </pic:spPr>
                </pic:pic>
              </a:graphicData>
            </a:graphic>
          </wp:inline>
        </w:drawing>
      </w:r>
    </w:p>
    <w:p w14:paraId="056248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2439670" cy="2599690"/>
            <wp:effectExtent l="0" t="0" r="0" b="0"/>
            <wp:docPr id="17" name="图片 17" descr="页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页面 1"/>
                    <pic:cNvPicPr>
                      <a:picLocks noChangeAspect="1"/>
                    </pic:cNvPicPr>
                  </pic:nvPicPr>
                  <pic:blipFill>
                    <a:blip r:embed="rId122"/>
                    <a:srcRect l="11153" t="2319" r="52249" b="40004"/>
                    <a:stretch>
                      <a:fillRect/>
                    </a:stretch>
                  </pic:blipFill>
                  <pic:spPr>
                    <a:xfrm>
                      <a:off x="0" y="0"/>
                      <a:ext cx="2439670" cy="2599690"/>
                    </a:xfrm>
                    <a:prstGeom prst="rect">
                      <a:avLst/>
                    </a:prstGeom>
                  </pic:spPr>
                </pic:pic>
              </a:graphicData>
            </a:graphic>
          </wp:inline>
        </w:drawing>
      </w:r>
    </w:p>
    <w:p w14:paraId="6574AA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36"/>
          <w:szCs w:val="36"/>
          <w:lang w:val="en-US" w:eastAsia="zh-CN"/>
        </w:rPr>
      </w:pPr>
      <w:r>
        <w:rPr>
          <w:rFonts w:hint="eastAsia" w:ascii="宋体" w:hAnsi="宋体" w:eastAsia="宋体" w:cs="宋体"/>
          <w:lang w:val="en-US" w:eastAsia="zh-CN"/>
        </w:rPr>
        <w:t>同时，页面底部有“申请使用”按钮，点击按钮同样弹出以上申请表。</w:t>
      </w:r>
    </w:p>
    <w:p w14:paraId="13A61BB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45" w:name="_Toc5605"/>
      <w:r>
        <w:rPr>
          <w:rFonts w:hint="eastAsia" w:ascii="宋体" w:hAnsi="宋体" w:eastAsia="宋体" w:cs="宋体"/>
          <w:sz w:val="28"/>
          <w:szCs w:val="28"/>
          <w:lang w:val="en-US" w:eastAsia="zh-CN"/>
        </w:rPr>
        <w:t>低延时实验室</w:t>
      </w:r>
      <w:bookmarkEnd w:id="45"/>
    </w:p>
    <w:p w14:paraId="1D7FDB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低延时实验室功能界面展示相关产品介绍、线路图及合作生态。</w:t>
      </w:r>
    </w:p>
    <w:p w14:paraId="2FE8E3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点击MATIC客户端上方特色服务-低延时实验室菜单可进入低延时实验室介绍界面，页面底部显示相关联系方式（微信号、QQ号、邮箱）。如图：</w:t>
      </w:r>
    </w:p>
    <w:p w14:paraId="4FCECD82">
      <w:pPr>
        <w:rPr>
          <w:rFonts w:hint="eastAsia" w:ascii="宋体" w:hAnsi="宋体" w:eastAsia="宋体" w:cs="宋体"/>
        </w:rPr>
      </w:pPr>
      <w:r>
        <w:drawing>
          <wp:inline distT="0" distB="0" distL="114300" distR="114300">
            <wp:extent cx="5266690" cy="2830830"/>
            <wp:effectExtent l="0" t="0" r="10160" b="762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3"/>
                    <a:stretch>
                      <a:fillRect/>
                    </a:stretch>
                  </pic:blipFill>
                  <pic:spPr>
                    <a:xfrm>
                      <a:off x="0" y="0"/>
                      <a:ext cx="5266690" cy="2830830"/>
                    </a:xfrm>
                    <a:prstGeom prst="rect">
                      <a:avLst/>
                    </a:prstGeom>
                    <a:noFill/>
                    <a:ln>
                      <a:noFill/>
                    </a:ln>
                  </pic:spPr>
                </pic:pic>
              </a:graphicData>
            </a:graphic>
          </wp:inline>
        </w:drawing>
      </w:r>
    </w:p>
    <w:p w14:paraId="18691B53">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46" w:name="_Toc3184"/>
      <w:bookmarkStart w:id="47" w:name="_Toc26559"/>
      <w:bookmarkStart w:id="48" w:name="_Toc1090"/>
      <w:r>
        <w:rPr>
          <w:rFonts w:hint="eastAsia" w:ascii="宋体" w:hAnsi="宋体" w:eastAsia="宋体" w:cs="宋体"/>
          <w:b/>
          <w:bCs w:val="0"/>
          <w:sz w:val="30"/>
          <w:szCs w:val="30"/>
          <w:lang w:val="en-US" w:eastAsia="zh-CN"/>
        </w:rPr>
        <w:t>系统</w:t>
      </w:r>
      <w:bookmarkEnd w:id="46"/>
      <w:bookmarkEnd w:id="47"/>
      <w:bookmarkEnd w:id="48"/>
    </w:p>
    <w:p w14:paraId="3AFA03E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b/>
          <w:bCs w:val="0"/>
          <w:sz w:val="28"/>
          <w:szCs w:val="28"/>
          <w:lang w:val="en-US" w:eastAsia="zh-CN"/>
        </w:rPr>
      </w:pPr>
      <w:bookmarkStart w:id="49" w:name="_Toc18535"/>
      <w:r>
        <w:rPr>
          <w:rFonts w:hint="eastAsia" w:ascii="宋体" w:hAnsi="宋体" w:eastAsia="宋体" w:cs="宋体"/>
          <w:b/>
          <w:bCs w:val="0"/>
          <w:sz w:val="28"/>
          <w:szCs w:val="28"/>
          <w:lang w:val="en-US" w:eastAsia="zh-CN"/>
        </w:rPr>
        <w:t>资金账号</w:t>
      </w:r>
      <w:bookmarkEnd w:id="49"/>
    </w:p>
    <w:p w14:paraId="468F79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资金账户</w:t>
      </w:r>
      <w:r>
        <w:rPr>
          <w:rFonts w:hint="eastAsia" w:ascii="宋体" w:hAnsi="宋体" w:eastAsia="宋体" w:cs="宋体"/>
          <w:color w:val="auto"/>
          <w:kern w:val="2"/>
          <w:sz w:val="21"/>
          <w:szCs w:val="21"/>
          <w:vertAlign w:val="baseline"/>
          <w:lang w:val="en-US" w:eastAsia="zh-CN" w:bidi="ar-SA"/>
        </w:rPr>
        <w:t>功能仅对个人客户开放，</w:t>
      </w:r>
      <w:r>
        <w:rPr>
          <w:rFonts w:hint="eastAsia" w:ascii="宋体" w:hAnsi="宋体" w:eastAsia="宋体" w:cs="宋体"/>
          <w:sz w:val="21"/>
          <w:szCs w:val="21"/>
          <w:lang w:val="en-US" w:eastAsia="zh-CN"/>
        </w:rPr>
        <w:t>主要支持的功能如下：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367"/>
      </w:tblGrid>
      <w:tr w14:paraId="17FB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167A35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w:t>
            </w:r>
          </w:p>
        </w:tc>
        <w:tc>
          <w:tcPr>
            <w:tcW w:w="7367" w:type="dxa"/>
          </w:tcPr>
          <w:p w14:paraId="75F83CE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功能描述</w:t>
            </w:r>
          </w:p>
        </w:tc>
      </w:tr>
      <w:tr w14:paraId="11ED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27BDEE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我要开户</w:t>
            </w:r>
          </w:p>
        </w:tc>
        <w:tc>
          <w:tcPr>
            <w:tcW w:w="7367" w:type="dxa"/>
          </w:tcPr>
          <w:p w14:paraId="40842F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点击“系统-资金账户-我要开户”链接至华泰期货有限公司互联网开户平台。</w:t>
            </w:r>
          </w:p>
        </w:tc>
      </w:tr>
      <w:tr w14:paraId="4E84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766A28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账户管理</w:t>
            </w:r>
          </w:p>
        </w:tc>
        <w:tc>
          <w:tcPr>
            <w:tcW w:w="7367" w:type="dxa"/>
          </w:tcPr>
          <w:p w14:paraId="571EB9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点击“系统-资金账户-账户管理”弹出资金账户管理界面，可进行资金账户绑定和解绑操作。</w:t>
            </w:r>
          </w:p>
        </w:tc>
      </w:tr>
    </w:tbl>
    <w:p w14:paraId="1D58A1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p>
    <w:p w14:paraId="5284EB5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50" w:name="_Toc31656"/>
      <w:r>
        <w:rPr>
          <w:rFonts w:hint="eastAsia" w:ascii="宋体" w:hAnsi="宋体" w:eastAsia="宋体" w:cs="宋体"/>
          <w:sz w:val="28"/>
          <w:szCs w:val="28"/>
          <w:lang w:val="en-US" w:eastAsia="zh-CN"/>
        </w:rPr>
        <w:t>我要开户</w:t>
      </w:r>
      <w:bookmarkEnd w:id="50"/>
    </w:p>
    <w:p w14:paraId="7B01BE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vertAlign w:val="baseline"/>
          <w:lang w:val="en-US" w:eastAsia="zh-CN"/>
        </w:rPr>
        <w:t>点击“系统-资金账户-我要开户”，</w:t>
      </w:r>
      <w:r>
        <w:rPr>
          <w:rFonts w:hint="eastAsia" w:ascii="宋体" w:hAnsi="宋体" w:eastAsia="宋体" w:cs="宋体"/>
          <w:lang w:val="en-US" w:eastAsia="zh-CN"/>
        </w:rPr>
        <w:t>“我要开户”页面展示了华泰期货有限公司互联网开户平台的开户流程及路径，开户路径目前主要推荐扫码开户，可通过手机扫一扫打开华泰期货开户预约页面，在页面内填写手机号码，获取并填写验证码后，点击预约专人指导，专属服务人员将致电教您开户。</w:t>
      </w:r>
    </w:p>
    <w:p w14:paraId="22A0B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提示：开户时间为：8：40-17：45（交易日），请在此时间段内操作。</w:t>
      </w:r>
    </w:p>
    <w:p w14:paraId="3B6FD0A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drawing>
          <wp:inline distT="0" distB="0" distL="114300" distR="114300">
            <wp:extent cx="5394960" cy="2900045"/>
            <wp:effectExtent l="0" t="0" r="15240" b="146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4"/>
                    <a:stretch>
                      <a:fillRect/>
                    </a:stretch>
                  </pic:blipFill>
                  <pic:spPr>
                    <a:xfrm>
                      <a:off x="0" y="0"/>
                      <a:ext cx="5394960" cy="2900045"/>
                    </a:xfrm>
                    <a:prstGeom prst="rect">
                      <a:avLst/>
                    </a:prstGeom>
                    <a:noFill/>
                    <a:ln>
                      <a:noFill/>
                    </a:ln>
                  </pic:spPr>
                </pic:pic>
              </a:graphicData>
            </a:graphic>
          </wp:inline>
        </w:drawing>
      </w:r>
    </w:p>
    <w:p w14:paraId="55F5508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51" w:name="_Toc6821"/>
      <w:r>
        <w:rPr>
          <w:rFonts w:hint="eastAsia" w:ascii="宋体" w:hAnsi="宋体" w:eastAsia="宋体" w:cs="宋体"/>
          <w:sz w:val="28"/>
          <w:szCs w:val="28"/>
          <w:lang w:val="en-US" w:eastAsia="zh-CN"/>
        </w:rPr>
        <w:t>账户管理</w:t>
      </w:r>
      <w:bookmarkEnd w:id="51"/>
    </w:p>
    <w:p w14:paraId="6AB2C6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vertAlign w:val="baseline"/>
          <w:lang w:val="en-US" w:eastAsia="zh-CN" w:bidi="ar-SA"/>
        </w:rPr>
        <w:t>点击“</w:t>
      </w:r>
      <w:r>
        <w:rPr>
          <w:rFonts w:hint="eastAsia" w:ascii="宋体" w:hAnsi="宋体" w:eastAsia="宋体" w:cs="宋体"/>
          <w:vertAlign w:val="baseline"/>
          <w:lang w:val="en-US" w:eastAsia="zh-CN"/>
        </w:rPr>
        <w:t>系统-资金账户-</w:t>
      </w:r>
      <w:r>
        <w:rPr>
          <w:rFonts w:hint="eastAsia" w:ascii="宋体" w:hAnsi="宋体" w:eastAsia="宋体" w:cs="宋体"/>
          <w:color w:val="auto"/>
          <w:kern w:val="2"/>
          <w:sz w:val="21"/>
          <w:szCs w:val="21"/>
          <w:vertAlign w:val="baseline"/>
          <w:lang w:val="en-US" w:eastAsia="zh-CN" w:bidi="ar-SA"/>
        </w:rPr>
        <w:t>账户管理”，打开“资金账户管理”页面，页面内容如下</w:t>
      </w:r>
      <w:r>
        <w:rPr>
          <w:rFonts w:hint="eastAsia" w:ascii="宋体" w:hAnsi="宋体" w:eastAsia="宋体" w:cs="宋体"/>
          <w:color w:val="auto"/>
          <w:sz w:val="21"/>
          <w:szCs w:val="21"/>
          <w:lang w:val="en-US" w:eastAsia="zh-CN"/>
        </w:rPr>
        <w:t>：</w:t>
      </w:r>
    </w:p>
    <w:p w14:paraId="0638F2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drawing>
          <wp:inline distT="0" distB="0" distL="114300" distR="114300">
            <wp:extent cx="2635885" cy="1979295"/>
            <wp:effectExtent l="0" t="0" r="12065"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25"/>
                    <a:stretch>
                      <a:fillRect/>
                    </a:stretch>
                  </pic:blipFill>
                  <pic:spPr>
                    <a:xfrm>
                      <a:off x="0" y="0"/>
                      <a:ext cx="2635885" cy="1979295"/>
                    </a:xfrm>
                    <a:prstGeom prst="rect">
                      <a:avLst/>
                    </a:prstGeom>
                    <a:noFill/>
                    <a:ln>
                      <a:noFill/>
                    </a:ln>
                  </pic:spPr>
                </pic:pic>
              </a:graphicData>
            </a:graphic>
          </wp:inline>
        </w:drawing>
      </w:r>
    </w:p>
    <w:p w14:paraId="2624C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点击新增绑定，选择市场类型（单选），填写资金账户和密码，点击绑定按钮，通过匹配性校验后，即绑定成功，否则绑定不成功。绑定成功后，在已绑定账户列表新增一条资金账号信息。</w:t>
      </w:r>
    </w:p>
    <w:p w14:paraId="3C8590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注意：新增绑定可操作时间为每天8：40-16：30和20：40-次日2：00，请在此时间段内操作。新增绑定后，重新登录客户端正式生效。同一市场类型仅支持绑定一个资金账户。</w:t>
      </w:r>
    </w:p>
    <w:p w14:paraId="2571C0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vertAlign w:val="baseline"/>
          <w:lang w:val="en-US" w:eastAsia="zh-CN" w:bidi="ar-SA"/>
        </w:rPr>
      </w:pPr>
      <w:r>
        <w:drawing>
          <wp:inline distT="0" distB="0" distL="114300" distR="114300">
            <wp:extent cx="2647950" cy="1988185"/>
            <wp:effectExtent l="0" t="0" r="0" b="1206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26"/>
                    <a:stretch>
                      <a:fillRect/>
                    </a:stretch>
                  </pic:blipFill>
                  <pic:spPr>
                    <a:xfrm>
                      <a:off x="0" y="0"/>
                      <a:ext cx="2647950" cy="1988185"/>
                    </a:xfrm>
                    <a:prstGeom prst="rect">
                      <a:avLst/>
                    </a:prstGeom>
                    <a:noFill/>
                    <a:ln>
                      <a:noFill/>
                    </a:ln>
                  </pic:spPr>
                </pic:pic>
              </a:graphicData>
            </a:graphic>
          </wp:inline>
        </w:drawing>
      </w:r>
    </w:p>
    <w:p w14:paraId="2367AD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对于已绑定账户，点击列表操作栏中解绑按钮，弹出确认解绑的弹框提示，点击确认可操作解绑资金账户，注意：解绑可操作时间为每天15：30-20：00，请在此时间段内操作。解绑后，重新登录客户端正式生效。</w:t>
      </w:r>
    </w:p>
    <w:p w14:paraId="7EAF30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0"/>
          <w:szCs w:val="30"/>
          <w:lang w:val="en-US" w:eastAsia="zh-CN"/>
        </w:rPr>
      </w:pPr>
      <w:r>
        <w:drawing>
          <wp:inline distT="0" distB="0" distL="114300" distR="114300">
            <wp:extent cx="2700655" cy="2031365"/>
            <wp:effectExtent l="0" t="0" r="4445" b="698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27"/>
                    <a:stretch>
                      <a:fillRect/>
                    </a:stretch>
                  </pic:blipFill>
                  <pic:spPr>
                    <a:xfrm>
                      <a:off x="0" y="0"/>
                      <a:ext cx="2700655" cy="2031365"/>
                    </a:xfrm>
                    <a:prstGeom prst="rect">
                      <a:avLst/>
                    </a:prstGeom>
                    <a:noFill/>
                    <a:ln>
                      <a:noFill/>
                    </a:ln>
                  </pic:spPr>
                </pic:pic>
              </a:graphicData>
            </a:graphic>
          </wp:inline>
        </w:drawing>
      </w:r>
    </w:p>
    <w:p w14:paraId="28690D35">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b/>
          <w:bCs w:val="0"/>
          <w:sz w:val="28"/>
          <w:szCs w:val="28"/>
          <w:lang w:val="en-US" w:eastAsia="zh-CN"/>
        </w:rPr>
      </w:pPr>
      <w:bookmarkStart w:id="52" w:name="_Toc2274"/>
      <w:r>
        <w:rPr>
          <w:rFonts w:hint="eastAsia" w:ascii="宋体" w:hAnsi="宋体" w:eastAsia="宋体" w:cs="宋体"/>
          <w:b/>
          <w:bCs w:val="0"/>
          <w:sz w:val="28"/>
          <w:szCs w:val="28"/>
          <w:lang w:val="en-US" w:eastAsia="zh-CN"/>
        </w:rPr>
        <w:t>关于</w:t>
      </w:r>
      <w:bookmarkEnd w:id="52"/>
    </w:p>
    <w:p w14:paraId="383975F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53" w:name="_Toc15422"/>
      <w:r>
        <w:rPr>
          <w:rFonts w:hint="eastAsia" w:ascii="宋体" w:hAnsi="宋体" w:eastAsia="宋体" w:cs="宋体"/>
          <w:sz w:val="28"/>
          <w:szCs w:val="28"/>
          <w:lang w:val="en-US" w:eastAsia="zh-CN"/>
        </w:rPr>
        <w:t>关于我们</w:t>
      </w:r>
      <w:bookmarkEnd w:id="53"/>
    </w:p>
    <w:p w14:paraId="6EEFC1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关于我们页面，展示终端开发方的公司网站、服务邮箱，服务热线等信息，同时展示本软件开发过程中使用的库以及第三方软件协议。</w:t>
      </w:r>
    </w:p>
    <w:p w14:paraId="053A48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3181350" cy="2118360"/>
            <wp:effectExtent l="0" t="0" r="0" b="15240"/>
            <wp:docPr id="2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8"/>
                    <pic:cNvPicPr>
                      <a:picLocks noChangeAspect="1"/>
                    </pic:cNvPicPr>
                  </pic:nvPicPr>
                  <pic:blipFill>
                    <a:blip r:embed="rId128"/>
                    <a:srcRect l="1073" t="1193" r="928" b="904"/>
                    <a:stretch>
                      <a:fillRect/>
                    </a:stretch>
                  </pic:blipFill>
                  <pic:spPr>
                    <a:xfrm>
                      <a:off x="0" y="0"/>
                      <a:ext cx="3181350" cy="2118360"/>
                    </a:xfrm>
                    <a:prstGeom prst="rect">
                      <a:avLst/>
                    </a:prstGeom>
                    <a:noFill/>
                    <a:ln>
                      <a:noFill/>
                    </a:ln>
                  </pic:spPr>
                </pic:pic>
              </a:graphicData>
            </a:graphic>
          </wp:inline>
        </w:drawing>
      </w:r>
    </w:p>
    <w:p w14:paraId="073019B8">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54" w:name="_Toc18655"/>
      <w:r>
        <w:rPr>
          <w:rFonts w:hint="eastAsia" w:ascii="宋体" w:hAnsi="宋体" w:eastAsia="宋体" w:cs="宋体"/>
          <w:sz w:val="28"/>
          <w:szCs w:val="28"/>
          <w:lang w:val="en-US" w:eastAsia="zh-CN"/>
        </w:rPr>
        <w:t>注销账号</w:t>
      </w:r>
      <w:bookmarkEnd w:id="54"/>
    </w:p>
    <w:p w14:paraId="225C48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注销账号功能仅针对个人客户开放。点击注销账号，打开注销账号页面，勾选确认同意注销，即可注销当前登录所使用的Maitc账号。</w:t>
      </w:r>
    </w:p>
    <w:p w14:paraId="76C68B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1"/>
          <w:szCs w:val="21"/>
          <w:vertAlign w:val="baseline"/>
          <w:lang w:val="en-US" w:eastAsia="zh-CN" w:bidi="ar-SA"/>
        </w:rPr>
        <w:t>注意：注销账号可操作时间为每天15：30-20：00，请在此时间段内操作。注销账号后，该账号不可用，系统将退回到客户端登录页。</w:t>
      </w:r>
    </w:p>
    <w:p w14:paraId="4FD62A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drawing>
          <wp:inline distT="0" distB="0" distL="114300" distR="114300">
            <wp:extent cx="4347845" cy="2665095"/>
            <wp:effectExtent l="0" t="0" r="14605" b="190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29"/>
                    <a:stretch>
                      <a:fillRect/>
                    </a:stretch>
                  </pic:blipFill>
                  <pic:spPr>
                    <a:xfrm>
                      <a:off x="0" y="0"/>
                      <a:ext cx="4347845" cy="2665095"/>
                    </a:xfrm>
                    <a:prstGeom prst="rect">
                      <a:avLst/>
                    </a:prstGeom>
                    <a:noFill/>
                    <a:ln>
                      <a:noFill/>
                    </a:ln>
                  </pic:spPr>
                </pic:pic>
              </a:graphicData>
            </a:graphic>
          </wp:inline>
        </w:drawing>
      </w:r>
    </w:p>
    <w:p w14:paraId="0AFE4120">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55" w:name="_Toc3084"/>
      <w:bookmarkStart w:id="56" w:name="_Toc17342"/>
      <w:bookmarkStart w:id="57" w:name="_Toc20918"/>
      <w:r>
        <w:rPr>
          <w:rFonts w:hint="eastAsia" w:ascii="宋体" w:hAnsi="宋体" w:eastAsia="宋体" w:cs="宋体"/>
          <w:b/>
          <w:bCs w:val="0"/>
          <w:sz w:val="30"/>
          <w:szCs w:val="30"/>
          <w:lang w:val="en-US" w:eastAsia="zh-CN"/>
        </w:rPr>
        <w:t>组件列表</w:t>
      </w:r>
      <w:bookmarkEnd w:id="55"/>
      <w:bookmarkEnd w:id="56"/>
      <w:bookmarkEnd w:id="57"/>
    </w:p>
    <w:p w14:paraId="46AD95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展示本系统可供使用所有组件，包含常用组件、交易组件、其他组件，期权交易等类别，每个组件类别下有多种组件可供选择。支持按组件名称搜索功能。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6408"/>
      </w:tblGrid>
      <w:tr w14:paraId="64B8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Pr>
          <w:p w14:paraId="79DD28E9">
            <w:p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组件类别</w:t>
            </w:r>
          </w:p>
        </w:tc>
        <w:tc>
          <w:tcPr>
            <w:tcW w:w="6408" w:type="dxa"/>
          </w:tcPr>
          <w:p w14:paraId="3AE46F26">
            <w:p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组件明细</w:t>
            </w:r>
          </w:p>
        </w:tc>
      </w:tr>
      <w:tr w14:paraId="7B87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213C6268">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常用组件</w:t>
            </w:r>
          </w:p>
        </w:tc>
        <w:tc>
          <w:tcPr>
            <w:tcW w:w="6408" w:type="dxa"/>
          </w:tcPr>
          <w:p w14:paraId="68B33494">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普通交易下单（含资产和持仓）、期货下单、期货委托明细、期货行情、消息中心、账户资产，通用委托成交表格组件、通用持仓。</w:t>
            </w:r>
          </w:p>
        </w:tc>
      </w:tr>
      <w:tr w14:paraId="0EFB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024A5E15">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交易组件</w:t>
            </w:r>
          </w:p>
        </w:tc>
        <w:tc>
          <w:tcPr>
            <w:tcW w:w="6408" w:type="dxa"/>
          </w:tcPr>
          <w:p w14:paraId="08145723">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多账户交易</w:t>
            </w:r>
          </w:p>
        </w:tc>
      </w:tr>
      <w:tr w14:paraId="60F5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615B8CD5">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其他组件</w:t>
            </w:r>
          </w:p>
        </w:tc>
        <w:tc>
          <w:tcPr>
            <w:tcW w:w="6408" w:type="dxa"/>
          </w:tcPr>
          <w:p w14:paraId="49CFF281">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指令委托列表，通用行情组件</w:t>
            </w:r>
          </w:p>
        </w:tc>
      </w:tr>
      <w:tr w14:paraId="401F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vAlign w:val="center"/>
          </w:tcPr>
          <w:p w14:paraId="167694F7">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期权交易</w:t>
            </w:r>
          </w:p>
        </w:tc>
        <w:tc>
          <w:tcPr>
            <w:tcW w:w="6408" w:type="dxa"/>
          </w:tcPr>
          <w:p w14:paraId="3018014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T型行情，期权交易、期货期权交易、期货期权委托明细、期货期权行情、期货期权闪电下单</w:t>
            </w:r>
          </w:p>
        </w:tc>
      </w:tr>
    </w:tbl>
    <w:p w14:paraId="537A2D61">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58" w:name="_Toc12232"/>
      <w:bookmarkStart w:id="59" w:name="_Toc7628"/>
      <w:bookmarkStart w:id="60" w:name="_Toc30859"/>
      <w:r>
        <w:rPr>
          <w:rFonts w:hint="eastAsia" w:ascii="宋体" w:hAnsi="宋体" w:eastAsia="宋体" w:cs="宋体"/>
          <w:b/>
          <w:bCs w:val="0"/>
          <w:sz w:val="30"/>
          <w:szCs w:val="30"/>
          <w:lang w:val="en-US" w:eastAsia="zh-CN"/>
        </w:rPr>
        <w:t>用户数据上传下载</w:t>
      </w:r>
      <w:bookmarkEnd w:id="58"/>
      <w:bookmarkEnd w:id="59"/>
      <w:bookmarkEnd w:id="60"/>
    </w:p>
    <w:p w14:paraId="5A8194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用户数据上传下载配置，包含上传用户设置、上传自定义布局、下载用户设置，下载自定义布局等功能模块。</w:t>
      </w:r>
    </w:p>
    <w:p w14:paraId="40CEE189">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61" w:name="_Toc17278"/>
      <w:bookmarkStart w:id="62" w:name="_Toc5204"/>
      <w:bookmarkStart w:id="63" w:name="_Toc5046"/>
      <w:r>
        <w:rPr>
          <w:rFonts w:hint="eastAsia" w:ascii="宋体" w:hAnsi="宋体" w:eastAsia="宋体" w:cs="宋体"/>
          <w:b/>
          <w:bCs w:val="0"/>
          <w:sz w:val="30"/>
          <w:szCs w:val="30"/>
          <w:lang w:val="en-US" w:eastAsia="zh-CN"/>
        </w:rPr>
        <w:t>设置</w:t>
      </w:r>
      <w:bookmarkEnd w:id="61"/>
      <w:bookmarkEnd w:id="62"/>
      <w:bookmarkEnd w:id="63"/>
    </w:p>
    <w:p w14:paraId="62E144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系统设置包含交易设置、账号设置、密码设置，客户端设置四大模块，每个模块下又包含对应的子模块，具体见下表。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6229"/>
      </w:tblGrid>
      <w:tr w14:paraId="5555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Pr>
          <w:p w14:paraId="460B0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设置大模块</w:t>
            </w:r>
          </w:p>
        </w:tc>
        <w:tc>
          <w:tcPr>
            <w:tcW w:w="6229" w:type="dxa"/>
          </w:tcPr>
          <w:p w14:paraId="60616D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设置子模块</w:t>
            </w:r>
          </w:p>
        </w:tc>
      </w:tr>
      <w:tr w14:paraId="6809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293" w:type="dxa"/>
            <w:vAlign w:val="center"/>
          </w:tcPr>
          <w:p w14:paraId="1658B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交易设置</w:t>
            </w:r>
          </w:p>
        </w:tc>
        <w:tc>
          <w:tcPr>
            <w:tcW w:w="6229" w:type="dxa"/>
          </w:tcPr>
          <w:p w14:paraId="3D056C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全局交易设置、基础交易设置、指令交易设置、期货交易设置、价格笼子设置、交易费率设置、期权交易设置、期货期权交易设置、组合交易设置</w:t>
            </w:r>
          </w:p>
        </w:tc>
      </w:tr>
      <w:tr w14:paraId="4FFF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716EF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账号设置</w:t>
            </w:r>
          </w:p>
        </w:tc>
        <w:tc>
          <w:tcPr>
            <w:tcW w:w="6229" w:type="dxa"/>
          </w:tcPr>
          <w:p w14:paraId="6F1AB29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账号简称设置、账号优先级设置，股东账号设置</w:t>
            </w:r>
          </w:p>
        </w:tc>
      </w:tr>
      <w:tr w14:paraId="78EA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50EF3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密码设置</w:t>
            </w:r>
          </w:p>
        </w:tc>
        <w:tc>
          <w:tcPr>
            <w:tcW w:w="6229" w:type="dxa"/>
          </w:tcPr>
          <w:p w14:paraId="63C661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交易密码校验</w:t>
            </w:r>
          </w:p>
        </w:tc>
      </w:tr>
      <w:tr w14:paraId="2974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14:paraId="6DCB7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客户端设置</w:t>
            </w:r>
          </w:p>
        </w:tc>
        <w:tc>
          <w:tcPr>
            <w:tcW w:w="6229" w:type="dxa"/>
          </w:tcPr>
          <w:p w14:paraId="2150C1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通用设置、修改密码、监控剪贴板、系统公告，关于</w:t>
            </w:r>
          </w:p>
        </w:tc>
      </w:tr>
    </w:tbl>
    <w:p w14:paraId="19BB9494">
      <w:pPr>
        <w:rPr>
          <w:rFonts w:hint="eastAsia" w:ascii="宋体" w:hAnsi="宋体" w:eastAsia="宋体" w:cs="宋体"/>
          <w:lang w:val="en-US" w:eastAsia="zh-CN"/>
        </w:rPr>
      </w:pPr>
    </w:p>
    <w:p w14:paraId="5F1350FE">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64" w:name="_Toc30604"/>
      <w:r>
        <w:rPr>
          <w:rFonts w:hint="eastAsia" w:ascii="宋体" w:hAnsi="宋体" w:eastAsia="宋体" w:cs="宋体"/>
          <w:sz w:val="28"/>
          <w:szCs w:val="28"/>
          <w:lang w:val="en-US" w:eastAsia="zh-CN"/>
        </w:rPr>
        <w:t>交易设置</w:t>
      </w:r>
      <w:bookmarkEnd w:id="64"/>
    </w:p>
    <w:p w14:paraId="03C2DA6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5" w:name="_Toc2560"/>
      <w:r>
        <w:rPr>
          <w:rFonts w:hint="eastAsia" w:ascii="宋体" w:hAnsi="宋体" w:eastAsia="宋体" w:cs="宋体"/>
          <w:sz w:val="28"/>
          <w:szCs w:val="28"/>
          <w:lang w:val="en-US" w:eastAsia="zh-CN"/>
        </w:rPr>
        <w:t>全局交易设置</w:t>
      </w:r>
      <w:bookmarkEnd w:id="65"/>
    </w:p>
    <w:p w14:paraId="02EB6B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分为全局交易设置和价格浮动设置（仅支持普通交易和组合交易）。</w:t>
      </w:r>
    </w:p>
    <w:p w14:paraId="0FD56E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35830" cy="3514725"/>
            <wp:effectExtent l="0" t="0" r="3175" b="4445"/>
            <wp:docPr id="21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0"/>
                    <pic:cNvPicPr>
                      <a:picLocks noChangeAspect="1"/>
                    </pic:cNvPicPr>
                  </pic:nvPicPr>
                  <pic:blipFill>
                    <a:blip r:embed="rId130"/>
                    <a:srcRect l="1820" t="2784" r="1676" b="2705"/>
                    <a:stretch>
                      <a:fillRect/>
                    </a:stretch>
                  </pic:blipFill>
                  <pic:spPr>
                    <a:xfrm>
                      <a:off x="0" y="0"/>
                      <a:ext cx="4735830" cy="3514725"/>
                    </a:xfrm>
                    <a:prstGeom prst="rect">
                      <a:avLst/>
                    </a:prstGeom>
                    <a:noFill/>
                    <a:ln>
                      <a:noFill/>
                    </a:ln>
                  </pic:spPr>
                </pic:pic>
              </a:graphicData>
            </a:graphic>
          </wp:inline>
        </w:drawing>
      </w:r>
    </w:p>
    <w:p w14:paraId="27CAAAD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6" w:name="_Toc4671"/>
      <w:r>
        <w:rPr>
          <w:rFonts w:hint="eastAsia" w:ascii="宋体" w:hAnsi="宋体" w:eastAsia="宋体" w:cs="宋体"/>
          <w:sz w:val="28"/>
          <w:szCs w:val="28"/>
          <w:lang w:val="en-US" w:eastAsia="zh-CN"/>
        </w:rPr>
        <w:t>基础交易设置</w:t>
      </w:r>
      <w:bookmarkEnd w:id="66"/>
    </w:p>
    <w:p w14:paraId="1C79E8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分为常用数量和金额、可买/可卖数量比例显隐设置（仅支持普通交易）、单笔委托数量上限（仅支持普通交易）、限价买卖价格初始设置（仅适配普通交易）、行情联动设置（仅适配普通交易）。</w:t>
      </w:r>
    </w:p>
    <w:p w14:paraId="22FABE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328160" cy="3255645"/>
            <wp:effectExtent l="0" t="0" r="635" b="4445"/>
            <wp:docPr id="21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1"/>
                    <pic:cNvPicPr>
                      <a:picLocks noChangeAspect="1"/>
                    </pic:cNvPicPr>
                  </pic:nvPicPr>
                  <pic:blipFill>
                    <a:blip r:embed="rId131"/>
                    <a:srcRect l="1928" t="2635" r="2668" b="2681"/>
                    <a:stretch>
                      <a:fillRect/>
                    </a:stretch>
                  </pic:blipFill>
                  <pic:spPr>
                    <a:xfrm>
                      <a:off x="0" y="0"/>
                      <a:ext cx="4328160" cy="3255645"/>
                    </a:xfrm>
                    <a:prstGeom prst="rect">
                      <a:avLst/>
                    </a:prstGeom>
                    <a:noFill/>
                    <a:ln>
                      <a:noFill/>
                    </a:ln>
                  </pic:spPr>
                </pic:pic>
              </a:graphicData>
            </a:graphic>
          </wp:inline>
        </w:drawing>
      </w:r>
    </w:p>
    <w:p w14:paraId="429E7FED">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7" w:name="_Toc6237"/>
      <w:r>
        <w:rPr>
          <w:rFonts w:hint="eastAsia" w:ascii="宋体" w:hAnsi="宋体" w:eastAsia="宋体" w:cs="宋体"/>
          <w:sz w:val="28"/>
          <w:szCs w:val="28"/>
          <w:lang w:val="en-US" w:eastAsia="zh-CN"/>
        </w:rPr>
        <w:t>指令交易设置</w:t>
      </w:r>
      <w:bookmarkEnd w:id="67"/>
    </w:p>
    <w:p w14:paraId="3A3086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包括指令执行设置、单笔委托数量上线（暂时仅适配个股指令）。</w:t>
      </w:r>
    </w:p>
    <w:p w14:paraId="1863AE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19600" cy="3093720"/>
            <wp:effectExtent l="0" t="0" r="6350" b="4445"/>
            <wp:docPr id="2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2"/>
                    <pic:cNvPicPr>
                      <a:picLocks noChangeAspect="1"/>
                    </pic:cNvPicPr>
                  </pic:nvPicPr>
                  <pic:blipFill>
                    <a:blip r:embed="rId132"/>
                    <a:srcRect l="1174" t="1941" r="1761" b="2355"/>
                    <a:stretch>
                      <a:fillRect/>
                    </a:stretch>
                  </pic:blipFill>
                  <pic:spPr>
                    <a:xfrm>
                      <a:off x="0" y="0"/>
                      <a:ext cx="4419600" cy="3093720"/>
                    </a:xfrm>
                    <a:prstGeom prst="rect">
                      <a:avLst/>
                    </a:prstGeom>
                    <a:noFill/>
                    <a:ln>
                      <a:noFill/>
                    </a:ln>
                  </pic:spPr>
                </pic:pic>
              </a:graphicData>
            </a:graphic>
          </wp:inline>
        </w:drawing>
      </w:r>
    </w:p>
    <w:p w14:paraId="7BDA7A67">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8" w:name="_Toc20573"/>
      <w:r>
        <w:rPr>
          <w:rFonts w:hint="eastAsia" w:ascii="宋体" w:hAnsi="宋体" w:eastAsia="宋体" w:cs="宋体"/>
          <w:sz w:val="28"/>
          <w:szCs w:val="28"/>
          <w:lang w:val="en-US" w:eastAsia="zh-CN"/>
        </w:rPr>
        <w:t>期货交易设置</w:t>
      </w:r>
      <w:bookmarkEnd w:id="68"/>
    </w:p>
    <w:p w14:paraId="2A380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设置不同交易操作的默认价格类型、默认数量以及是否进行二次确认。</w:t>
      </w:r>
    </w:p>
    <w:p w14:paraId="49CBAA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697095" cy="3123565"/>
            <wp:effectExtent l="0" t="0" r="9525" b="6985"/>
            <wp:docPr id="21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3"/>
                    <pic:cNvPicPr>
                      <a:picLocks noChangeAspect="1"/>
                    </pic:cNvPicPr>
                  </pic:nvPicPr>
                  <pic:blipFill>
                    <a:blip r:embed="rId133"/>
                    <a:srcRect l="1412" t="1809" r="1702" b="3678"/>
                    <a:stretch>
                      <a:fillRect/>
                    </a:stretch>
                  </pic:blipFill>
                  <pic:spPr>
                    <a:xfrm>
                      <a:off x="0" y="0"/>
                      <a:ext cx="4697095" cy="3123565"/>
                    </a:xfrm>
                    <a:prstGeom prst="rect">
                      <a:avLst/>
                    </a:prstGeom>
                    <a:noFill/>
                    <a:ln>
                      <a:noFill/>
                    </a:ln>
                  </pic:spPr>
                </pic:pic>
              </a:graphicData>
            </a:graphic>
          </wp:inline>
        </w:drawing>
      </w:r>
    </w:p>
    <w:p w14:paraId="03672202">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69" w:name="_Toc5251"/>
      <w:r>
        <w:rPr>
          <w:rFonts w:hint="eastAsia" w:ascii="宋体" w:hAnsi="宋体" w:eastAsia="宋体" w:cs="宋体"/>
          <w:sz w:val="28"/>
          <w:szCs w:val="28"/>
          <w:lang w:val="en-US" w:eastAsia="zh-CN"/>
        </w:rPr>
        <w:t>价格笼子设置</w:t>
      </w:r>
      <w:bookmarkEnd w:id="69"/>
    </w:p>
    <w:p w14:paraId="421E2B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包括价格笼子应用设置和价格笼子参数设置，见下图：</w:t>
      </w:r>
    </w:p>
    <w:p w14:paraId="5AE83A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672330" cy="3484245"/>
            <wp:effectExtent l="0" t="0" r="1905" b="2540"/>
            <wp:docPr id="21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4"/>
                    <pic:cNvPicPr>
                      <a:picLocks noChangeAspect="1"/>
                    </pic:cNvPicPr>
                  </pic:nvPicPr>
                  <pic:blipFill>
                    <a:blip r:embed="rId134"/>
                    <a:srcRect l="1446" t="2053" r="1772" b="2689"/>
                    <a:stretch>
                      <a:fillRect/>
                    </a:stretch>
                  </pic:blipFill>
                  <pic:spPr>
                    <a:xfrm>
                      <a:off x="0" y="0"/>
                      <a:ext cx="4672330" cy="3484245"/>
                    </a:xfrm>
                    <a:prstGeom prst="rect">
                      <a:avLst/>
                    </a:prstGeom>
                    <a:noFill/>
                    <a:ln>
                      <a:noFill/>
                    </a:ln>
                  </pic:spPr>
                </pic:pic>
              </a:graphicData>
            </a:graphic>
          </wp:inline>
        </w:drawing>
      </w:r>
    </w:p>
    <w:p w14:paraId="251C53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当前设置发生变化且未保存，切换模块时弹出保存设置二次确认弹窗。</w:t>
      </w:r>
    </w:p>
    <w:p w14:paraId="4B99EABC">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0" w:name="_Toc25107"/>
      <w:r>
        <w:rPr>
          <w:rFonts w:hint="eastAsia" w:ascii="宋体" w:hAnsi="宋体" w:eastAsia="宋体" w:cs="宋体"/>
          <w:sz w:val="28"/>
          <w:szCs w:val="28"/>
          <w:lang w:val="en-US" w:eastAsia="zh-CN"/>
        </w:rPr>
        <w:t>交易费率设置</w:t>
      </w:r>
      <w:bookmarkEnd w:id="70"/>
    </w:p>
    <w:p w14:paraId="0524CB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包括交易费率启用开关、上交所交易费率、深交所交易费率、费率说明。</w:t>
      </w:r>
    </w:p>
    <w:p w14:paraId="22E90F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60875" cy="3028315"/>
            <wp:effectExtent l="0" t="0" r="8255" b="5080"/>
            <wp:docPr id="2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5"/>
                    <pic:cNvPicPr>
                      <a:picLocks noChangeAspect="1"/>
                    </pic:cNvPicPr>
                  </pic:nvPicPr>
                  <pic:blipFill>
                    <a:blip r:embed="rId135"/>
                    <a:srcRect l="1586" t="1923" r="1598" b="2741"/>
                    <a:stretch>
                      <a:fillRect/>
                    </a:stretch>
                  </pic:blipFill>
                  <pic:spPr>
                    <a:xfrm>
                      <a:off x="0" y="0"/>
                      <a:ext cx="4460875" cy="3028315"/>
                    </a:xfrm>
                    <a:prstGeom prst="rect">
                      <a:avLst/>
                    </a:prstGeom>
                    <a:noFill/>
                    <a:ln>
                      <a:noFill/>
                    </a:ln>
                  </pic:spPr>
                </pic:pic>
              </a:graphicData>
            </a:graphic>
          </wp:inline>
        </w:drawing>
      </w:r>
    </w:p>
    <w:p w14:paraId="3148379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1" w:name="_Toc20495"/>
      <w:r>
        <w:rPr>
          <w:rFonts w:hint="eastAsia" w:ascii="宋体" w:hAnsi="宋体" w:eastAsia="宋体" w:cs="宋体"/>
          <w:sz w:val="28"/>
          <w:szCs w:val="28"/>
          <w:lang w:val="en-US" w:eastAsia="zh-CN"/>
        </w:rPr>
        <w:t>期权交易设置</w:t>
      </w:r>
      <w:bookmarkEnd w:id="71"/>
    </w:p>
    <w:p w14:paraId="22E120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包括下单习惯、拆单设置、默认价格价格类型三部分，支持用户设置三键/四键下单，设置期权下单单笔委托的拆单规则，选择默认价格类型。</w:t>
      </w:r>
    </w:p>
    <w:p w14:paraId="0A82DD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495800" cy="3376930"/>
            <wp:effectExtent l="0" t="0" r="5715" b="1905"/>
            <wp:docPr id="21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6"/>
                    <pic:cNvPicPr>
                      <a:picLocks noChangeAspect="1"/>
                    </pic:cNvPicPr>
                  </pic:nvPicPr>
                  <pic:blipFill>
                    <a:blip r:embed="rId136"/>
                    <a:srcRect l="1724" t="2371" r="1772" b="1957"/>
                    <a:stretch>
                      <a:fillRect/>
                    </a:stretch>
                  </pic:blipFill>
                  <pic:spPr>
                    <a:xfrm>
                      <a:off x="0" y="0"/>
                      <a:ext cx="4495800" cy="3376930"/>
                    </a:xfrm>
                    <a:prstGeom prst="rect">
                      <a:avLst/>
                    </a:prstGeom>
                    <a:noFill/>
                    <a:ln>
                      <a:noFill/>
                    </a:ln>
                  </pic:spPr>
                </pic:pic>
              </a:graphicData>
            </a:graphic>
          </wp:inline>
        </w:drawing>
      </w:r>
    </w:p>
    <w:p w14:paraId="26E6845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2" w:name="_Toc21511"/>
      <w:r>
        <w:rPr>
          <w:rFonts w:hint="eastAsia" w:ascii="宋体" w:hAnsi="宋体" w:eastAsia="宋体" w:cs="宋体"/>
          <w:sz w:val="28"/>
          <w:szCs w:val="28"/>
          <w:lang w:val="en-US" w:eastAsia="zh-CN"/>
        </w:rPr>
        <w:t>期货期权交易设置</w:t>
      </w:r>
      <w:bookmarkEnd w:id="72"/>
    </w:p>
    <w:p w14:paraId="7B1B0B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包括闪电下单拆单设置、期货期权交易下单操作设置。</w:t>
      </w:r>
    </w:p>
    <w:p w14:paraId="76A886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523740" cy="3377565"/>
            <wp:effectExtent l="0" t="0" r="10160" b="1270"/>
            <wp:docPr id="21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7"/>
                    <pic:cNvPicPr>
                      <a:picLocks noChangeAspect="1"/>
                    </pic:cNvPicPr>
                  </pic:nvPicPr>
                  <pic:blipFill>
                    <a:blip r:embed="rId137"/>
                    <a:srcRect l="1724" t="2593" r="1567" b="2116"/>
                    <a:stretch>
                      <a:fillRect/>
                    </a:stretch>
                  </pic:blipFill>
                  <pic:spPr>
                    <a:xfrm>
                      <a:off x="0" y="0"/>
                      <a:ext cx="4523740" cy="3377565"/>
                    </a:xfrm>
                    <a:prstGeom prst="rect">
                      <a:avLst/>
                    </a:prstGeom>
                    <a:noFill/>
                    <a:ln>
                      <a:noFill/>
                    </a:ln>
                  </pic:spPr>
                </pic:pic>
              </a:graphicData>
            </a:graphic>
          </wp:inline>
        </w:drawing>
      </w:r>
    </w:p>
    <w:p w14:paraId="454ABD4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3" w:name="_Toc10375"/>
      <w:r>
        <w:rPr>
          <w:rFonts w:hint="eastAsia" w:ascii="宋体" w:hAnsi="宋体" w:eastAsia="宋体" w:cs="宋体"/>
          <w:sz w:val="28"/>
          <w:szCs w:val="28"/>
          <w:lang w:val="en-US" w:eastAsia="zh-CN"/>
        </w:rPr>
        <w:t>组合交易设置</w:t>
      </w:r>
      <w:bookmarkEnd w:id="73"/>
    </w:p>
    <w:p w14:paraId="4456B4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包括组合委托、组合导入设置、补单弹窗设置、其他设置。</w:t>
      </w:r>
    </w:p>
    <w:p w14:paraId="11A2A0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602480" cy="3267710"/>
            <wp:effectExtent l="0" t="0" r="6985" b="3175"/>
            <wp:docPr id="22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8"/>
                    <pic:cNvPicPr>
                      <a:picLocks noChangeAspect="1"/>
                    </pic:cNvPicPr>
                  </pic:nvPicPr>
                  <pic:blipFill>
                    <a:blip r:embed="rId138"/>
                    <a:srcRect l="1402" t="1894" r="1788" b="2693"/>
                    <a:stretch>
                      <a:fillRect/>
                    </a:stretch>
                  </pic:blipFill>
                  <pic:spPr>
                    <a:xfrm>
                      <a:off x="0" y="0"/>
                      <a:ext cx="4602480" cy="3267710"/>
                    </a:xfrm>
                    <a:prstGeom prst="rect">
                      <a:avLst/>
                    </a:prstGeom>
                    <a:noFill/>
                    <a:ln>
                      <a:noFill/>
                    </a:ln>
                  </pic:spPr>
                </pic:pic>
              </a:graphicData>
            </a:graphic>
          </wp:inline>
        </w:drawing>
      </w:r>
    </w:p>
    <w:p w14:paraId="240CA2D2">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74" w:name="_Toc27450"/>
      <w:r>
        <w:rPr>
          <w:rFonts w:hint="eastAsia" w:ascii="宋体" w:hAnsi="宋体" w:eastAsia="宋体" w:cs="宋体"/>
          <w:sz w:val="28"/>
          <w:szCs w:val="28"/>
          <w:lang w:val="en-US" w:eastAsia="zh-CN"/>
        </w:rPr>
        <w:t>账号设置</w:t>
      </w:r>
      <w:bookmarkEnd w:id="74"/>
    </w:p>
    <w:p w14:paraId="3B148E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账号设置包含账号简称设置、账号优先级设置，股东账号设置。</w:t>
      </w:r>
    </w:p>
    <w:p w14:paraId="2885A923">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5" w:name="_Toc32313"/>
      <w:r>
        <w:rPr>
          <w:rFonts w:hint="eastAsia" w:ascii="宋体" w:hAnsi="宋体" w:eastAsia="宋体" w:cs="宋体"/>
          <w:sz w:val="28"/>
          <w:szCs w:val="28"/>
          <w:lang w:val="en-US" w:eastAsia="zh-CN"/>
        </w:rPr>
        <w:t>账号简称设置</w:t>
      </w:r>
      <w:bookmarkEnd w:id="75"/>
    </w:p>
    <w:p w14:paraId="7970DA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双击目标账号的账号简称单元格，即可编辑账号简称。</w:t>
      </w:r>
    </w:p>
    <w:p w14:paraId="4CB2BF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291330" cy="3037205"/>
            <wp:effectExtent l="0" t="0" r="5080" b="6985"/>
            <wp:docPr id="2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9"/>
                    <pic:cNvPicPr>
                      <a:picLocks noChangeAspect="1"/>
                    </pic:cNvPicPr>
                  </pic:nvPicPr>
                  <pic:blipFill>
                    <a:blip r:embed="rId139"/>
                    <a:srcRect l="1455" t="2068" r="1652" b="2838"/>
                    <a:stretch>
                      <a:fillRect/>
                    </a:stretch>
                  </pic:blipFill>
                  <pic:spPr>
                    <a:xfrm>
                      <a:off x="0" y="0"/>
                      <a:ext cx="4291330" cy="3037205"/>
                    </a:xfrm>
                    <a:prstGeom prst="rect">
                      <a:avLst/>
                    </a:prstGeom>
                    <a:noFill/>
                    <a:ln>
                      <a:noFill/>
                    </a:ln>
                  </pic:spPr>
                </pic:pic>
              </a:graphicData>
            </a:graphic>
          </wp:inline>
        </w:drawing>
      </w:r>
    </w:p>
    <w:p w14:paraId="3CA129BF">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6" w:name="_Toc8424"/>
      <w:r>
        <w:rPr>
          <w:rFonts w:hint="eastAsia" w:ascii="宋体" w:hAnsi="宋体" w:eastAsia="宋体" w:cs="宋体"/>
          <w:sz w:val="28"/>
          <w:szCs w:val="28"/>
          <w:lang w:val="en-US" w:eastAsia="zh-CN"/>
        </w:rPr>
        <w:t>账号优先级设置</w:t>
      </w:r>
      <w:bookmarkEnd w:id="76"/>
    </w:p>
    <w:p w14:paraId="14D5A9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lang w:val="en-US" w:eastAsia="zh-CN"/>
        </w:rPr>
        <w:t>点击目标账号上下拖动可调整目标账号优先级顺序。</w:t>
      </w:r>
    </w:p>
    <w:p w14:paraId="1857661B">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77" w:name="_Toc7940"/>
      <w:r>
        <w:rPr>
          <w:rFonts w:hint="eastAsia" w:ascii="宋体" w:hAnsi="宋体" w:eastAsia="宋体" w:cs="宋体"/>
          <w:sz w:val="28"/>
          <w:szCs w:val="28"/>
          <w:lang w:val="en-US" w:eastAsia="zh-CN"/>
        </w:rPr>
        <w:t>密码设置</w:t>
      </w:r>
      <w:bookmarkEnd w:id="77"/>
    </w:p>
    <w:p w14:paraId="22198A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密码设置包含交易密码校验。支持资金账户的密码校验。</w:t>
      </w:r>
    </w:p>
    <w:p w14:paraId="2B298D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注意：密码校验成功后，需重新登录客户端才可进行交易。</w:t>
      </w:r>
    </w:p>
    <w:p w14:paraId="5BC205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398010" cy="3204210"/>
            <wp:effectExtent l="0" t="0" r="6350" b="1905"/>
            <wp:docPr id="22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0"/>
                    <pic:cNvPicPr>
                      <a:picLocks noChangeAspect="1"/>
                    </pic:cNvPicPr>
                  </pic:nvPicPr>
                  <pic:blipFill>
                    <a:blip r:embed="rId140"/>
                    <a:srcRect l="1535" t="2183" r="2026" b="3460"/>
                    <a:stretch>
                      <a:fillRect/>
                    </a:stretch>
                  </pic:blipFill>
                  <pic:spPr>
                    <a:xfrm>
                      <a:off x="0" y="0"/>
                      <a:ext cx="4398010" cy="3204210"/>
                    </a:xfrm>
                    <a:prstGeom prst="rect">
                      <a:avLst/>
                    </a:prstGeom>
                    <a:noFill/>
                    <a:ln>
                      <a:noFill/>
                    </a:ln>
                  </pic:spPr>
                </pic:pic>
              </a:graphicData>
            </a:graphic>
          </wp:inline>
        </w:drawing>
      </w:r>
    </w:p>
    <w:p w14:paraId="6308D276">
      <w:pPr>
        <w:pStyle w:val="3"/>
        <w:keepNext/>
        <w:keepLines/>
        <w:pageBreakBefore w:val="0"/>
        <w:widowControl w:val="0"/>
        <w:numPr>
          <w:ilvl w:val="1"/>
          <w:numId w:val="2"/>
        </w:numPr>
        <w:kinsoku/>
        <w:wordWrap/>
        <w:overflowPunct/>
        <w:topLinePunct w:val="0"/>
        <w:autoSpaceDE/>
        <w:autoSpaceDN/>
        <w:bidi w:val="0"/>
        <w:adjustRightInd/>
        <w:snapToGrid/>
        <w:spacing w:before="120" w:after="120" w:line="240" w:lineRule="auto"/>
        <w:ind w:left="567" w:leftChars="0" w:hanging="567" w:firstLineChars="0"/>
        <w:textAlignment w:val="auto"/>
        <w:rPr>
          <w:rFonts w:hint="eastAsia" w:ascii="宋体" w:hAnsi="宋体" w:eastAsia="宋体" w:cs="宋体"/>
          <w:sz w:val="28"/>
          <w:szCs w:val="28"/>
          <w:lang w:val="en-US" w:eastAsia="zh-CN"/>
        </w:rPr>
      </w:pPr>
      <w:bookmarkStart w:id="78" w:name="_Toc18081"/>
      <w:r>
        <w:rPr>
          <w:rFonts w:hint="eastAsia" w:ascii="宋体" w:hAnsi="宋体" w:eastAsia="宋体" w:cs="宋体"/>
          <w:sz w:val="28"/>
          <w:szCs w:val="28"/>
          <w:lang w:val="en-US" w:eastAsia="zh-CN"/>
        </w:rPr>
        <w:t>客户端设置</w:t>
      </w:r>
      <w:bookmarkEnd w:id="78"/>
    </w:p>
    <w:p w14:paraId="24B053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客户端设置包含通用设置、修改密码、监控剪贴板、系统公告，关于等模块。</w:t>
      </w:r>
    </w:p>
    <w:p w14:paraId="5FC828D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79" w:name="_Toc11432"/>
      <w:r>
        <w:rPr>
          <w:rFonts w:hint="eastAsia" w:ascii="宋体" w:hAnsi="宋体" w:eastAsia="宋体" w:cs="宋体"/>
          <w:sz w:val="28"/>
          <w:szCs w:val="28"/>
          <w:lang w:val="en-US" w:eastAsia="zh-CN"/>
        </w:rPr>
        <w:t>通用设置</w:t>
      </w:r>
      <w:bookmarkEnd w:id="79"/>
    </w:p>
    <w:p w14:paraId="35FA54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包括客户端字体缩放、客户端锁定、预留信息设置三部分设置。</w:t>
      </w:r>
    </w:p>
    <w:p w14:paraId="1A0432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54245" cy="3550920"/>
            <wp:effectExtent l="0" t="0" r="6350" b="635"/>
            <wp:docPr id="2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1"/>
                    <pic:cNvPicPr>
                      <a:picLocks noChangeAspect="1"/>
                    </pic:cNvPicPr>
                  </pic:nvPicPr>
                  <pic:blipFill>
                    <a:blip r:embed="rId141"/>
                    <a:srcRect l="1840" t="2530" r="1457" b="2145"/>
                    <a:stretch>
                      <a:fillRect/>
                    </a:stretch>
                  </pic:blipFill>
                  <pic:spPr>
                    <a:xfrm>
                      <a:off x="0" y="0"/>
                      <a:ext cx="4754245" cy="3550920"/>
                    </a:xfrm>
                    <a:prstGeom prst="rect">
                      <a:avLst/>
                    </a:prstGeom>
                    <a:noFill/>
                    <a:ln>
                      <a:noFill/>
                    </a:ln>
                  </pic:spPr>
                </pic:pic>
              </a:graphicData>
            </a:graphic>
          </wp:inline>
        </w:drawing>
      </w:r>
    </w:p>
    <w:p w14:paraId="2D3C5531">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80" w:name="_Toc23531"/>
      <w:r>
        <w:rPr>
          <w:rFonts w:hint="eastAsia" w:ascii="宋体" w:hAnsi="宋体" w:eastAsia="宋体" w:cs="宋体"/>
          <w:sz w:val="28"/>
          <w:szCs w:val="28"/>
          <w:lang w:val="en-US" w:eastAsia="zh-CN"/>
        </w:rPr>
        <w:t>修改密码</w:t>
      </w:r>
      <w:bookmarkEnd w:id="80"/>
    </w:p>
    <w:p w14:paraId="2CE641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通过验证原密码的方式修改当前用户登录密码。</w:t>
      </w:r>
    </w:p>
    <w:p w14:paraId="4F2D3B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28210" cy="3546475"/>
            <wp:effectExtent l="0" t="0" r="0" b="5080"/>
            <wp:docPr id="22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2"/>
                    <pic:cNvPicPr>
                      <a:picLocks noChangeAspect="1"/>
                    </pic:cNvPicPr>
                  </pic:nvPicPr>
                  <pic:blipFill>
                    <a:blip r:embed="rId142"/>
                    <a:srcRect l="1543" t="2037" r="1483" b="1957"/>
                    <a:stretch>
                      <a:fillRect/>
                    </a:stretch>
                  </pic:blipFill>
                  <pic:spPr>
                    <a:xfrm>
                      <a:off x="0" y="0"/>
                      <a:ext cx="4728210" cy="3546475"/>
                    </a:xfrm>
                    <a:prstGeom prst="rect">
                      <a:avLst/>
                    </a:prstGeom>
                    <a:noFill/>
                    <a:ln>
                      <a:noFill/>
                    </a:ln>
                  </pic:spPr>
                </pic:pic>
              </a:graphicData>
            </a:graphic>
          </wp:inline>
        </w:drawing>
      </w:r>
    </w:p>
    <w:p w14:paraId="099550D9">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81" w:name="_Toc585"/>
      <w:r>
        <w:rPr>
          <w:rFonts w:hint="eastAsia" w:ascii="宋体" w:hAnsi="宋体" w:eastAsia="宋体" w:cs="宋体"/>
          <w:sz w:val="28"/>
          <w:szCs w:val="28"/>
          <w:lang w:val="en-US" w:eastAsia="zh-CN"/>
        </w:rPr>
        <w:t>监控剪贴板</w:t>
      </w:r>
      <w:bookmarkEnd w:id="81"/>
    </w:p>
    <w:p w14:paraId="675E05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剪贴板监控开关，默认不开启。</w:t>
      </w:r>
    </w:p>
    <w:p w14:paraId="6053E5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732655" cy="3336290"/>
            <wp:effectExtent l="0" t="0" r="6350" b="10160"/>
            <wp:docPr id="22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3"/>
                    <pic:cNvPicPr>
                      <a:picLocks noChangeAspect="1"/>
                    </pic:cNvPicPr>
                  </pic:nvPicPr>
                  <pic:blipFill>
                    <a:blip r:embed="rId143"/>
                    <a:srcRect l="1559" t="1869" r="1693" b="2164"/>
                    <a:stretch>
                      <a:fillRect/>
                    </a:stretch>
                  </pic:blipFill>
                  <pic:spPr>
                    <a:xfrm>
                      <a:off x="0" y="0"/>
                      <a:ext cx="4732655" cy="3336290"/>
                    </a:xfrm>
                    <a:prstGeom prst="rect">
                      <a:avLst/>
                    </a:prstGeom>
                    <a:noFill/>
                    <a:ln>
                      <a:noFill/>
                    </a:ln>
                  </pic:spPr>
                </pic:pic>
              </a:graphicData>
            </a:graphic>
          </wp:inline>
        </w:drawing>
      </w:r>
    </w:p>
    <w:p w14:paraId="508ACA16">
      <w:pPr>
        <w:pStyle w:val="4"/>
        <w:keepNext/>
        <w:keepLines/>
        <w:pageBreakBefore w:val="0"/>
        <w:widowControl w:val="0"/>
        <w:numPr>
          <w:ilvl w:val="2"/>
          <w:numId w:val="2"/>
        </w:numPr>
        <w:kinsoku/>
        <w:wordWrap/>
        <w:overflowPunct/>
        <w:topLinePunct w:val="0"/>
        <w:autoSpaceDE/>
        <w:autoSpaceDN/>
        <w:bidi w:val="0"/>
        <w:adjustRightInd/>
        <w:snapToGrid/>
        <w:spacing w:before="120" w:after="120" w:line="240" w:lineRule="auto"/>
        <w:ind w:left="709" w:leftChars="0" w:hanging="709" w:firstLineChars="0"/>
        <w:textAlignment w:val="auto"/>
        <w:rPr>
          <w:rFonts w:hint="eastAsia" w:ascii="宋体" w:hAnsi="宋体" w:eastAsia="宋体" w:cs="宋体"/>
          <w:sz w:val="28"/>
          <w:szCs w:val="28"/>
          <w:lang w:val="en-US" w:eastAsia="zh-CN"/>
        </w:rPr>
      </w:pPr>
      <w:bookmarkStart w:id="82" w:name="_Toc10796"/>
      <w:r>
        <w:rPr>
          <w:rFonts w:hint="eastAsia" w:ascii="宋体" w:hAnsi="宋体" w:eastAsia="宋体" w:cs="宋体"/>
          <w:sz w:val="28"/>
          <w:szCs w:val="28"/>
          <w:lang w:val="en-US" w:eastAsia="zh-CN"/>
        </w:rPr>
        <w:t>系统公告</w:t>
      </w:r>
      <w:bookmarkEnd w:id="82"/>
    </w:p>
    <w:p w14:paraId="449182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包含重点监控标的弹窗、系统公告两部分。</w:t>
      </w:r>
    </w:p>
    <w:p w14:paraId="6A0AE4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lang w:val="en-US" w:eastAsia="zh-CN"/>
        </w:rPr>
      </w:pPr>
      <w:r>
        <w:rPr>
          <w:rFonts w:hint="eastAsia" w:ascii="宋体" w:hAnsi="宋体" w:eastAsia="宋体" w:cs="宋体"/>
        </w:rPr>
        <w:drawing>
          <wp:inline distT="0" distB="0" distL="114300" distR="114300">
            <wp:extent cx="4608830" cy="3463925"/>
            <wp:effectExtent l="0" t="0" r="635" b="1270"/>
            <wp:docPr id="2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94"/>
                    <pic:cNvPicPr>
                      <a:picLocks noChangeAspect="1"/>
                    </pic:cNvPicPr>
                  </pic:nvPicPr>
                  <pic:blipFill>
                    <a:blip r:embed="rId144"/>
                    <a:srcRect l="1517" t="1919" r="1504" b="1886"/>
                    <a:stretch>
                      <a:fillRect/>
                    </a:stretch>
                  </pic:blipFill>
                  <pic:spPr>
                    <a:xfrm>
                      <a:off x="0" y="0"/>
                      <a:ext cx="4608830" cy="3463925"/>
                    </a:xfrm>
                    <a:prstGeom prst="rect">
                      <a:avLst/>
                    </a:prstGeom>
                    <a:noFill/>
                    <a:ln>
                      <a:noFill/>
                    </a:ln>
                  </pic:spPr>
                </pic:pic>
              </a:graphicData>
            </a:graphic>
          </wp:inline>
        </w:drawing>
      </w:r>
    </w:p>
    <w:p w14:paraId="03202F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lang w:val="en-US" w:eastAsia="zh-CN"/>
        </w:rPr>
      </w:pPr>
    </w:p>
    <w:p w14:paraId="5F0A9EDC">
      <w:pPr>
        <w:pStyle w:val="2"/>
        <w:keepNext/>
        <w:keepLines/>
        <w:pageBreakBefore w:val="0"/>
        <w:widowControl w:val="0"/>
        <w:numPr>
          <w:ilvl w:val="0"/>
          <w:numId w:val="2"/>
        </w:numPr>
        <w:kinsoku/>
        <w:wordWrap/>
        <w:overflowPunct/>
        <w:topLinePunct w:val="0"/>
        <w:autoSpaceDE/>
        <w:autoSpaceDN/>
        <w:bidi w:val="0"/>
        <w:adjustRightInd/>
        <w:snapToGrid/>
        <w:spacing w:before="240" w:after="240" w:line="240" w:lineRule="auto"/>
        <w:ind w:left="425" w:leftChars="0" w:hanging="425" w:firstLineChars="0"/>
        <w:textAlignment w:val="auto"/>
        <w:rPr>
          <w:rFonts w:hint="eastAsia" w:ascii="宋体" w:hAnsi="宋体" w:eastAsia="宋体" w:cs="宋体"/>
          <w:b/>
          <w:bCs w:val="0"/>
          <w:sz w:val="30"/>
          <w:szCs w:val="30"/>
          <w:lang w:val="en-US" w:eastAsia="zh-CN"/>
        </w:rPr>
      </w:pPr>
      <w:bookmarkStart w:id="83" w:name="_Toc31555"/>
      <w:r>
        <w:rPr>
          <w:rFonts w:hint="eastAsia" w:ascii="宋体" w:hAnsi="宋体" w:eastAsia="宋体" w:cs="宋体"/>
          <w:b/>
          <w:bCs w:val="0"/>
          <w:sz w:val="30"/>
          <w:szCs w:val="30"/>
          <w:lang w:val="en-US" w:eastAsia="zh-CN"/>
        </w:rPr>
        <w:t>下载中心</w:t>
      </w:r>
      <w:bookmarkEnd w:id="83"/>
    </w:p>
    <w:p w14:paraId="2BDF98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展示当日下载文件列表，支持按文件类型和状态进行筛选。</w:t>
      </w:r>
    </w:p>
    <w:p w14:paraId="4F94E842">
      <w:pPr>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lang w:val="en-US" w:eastAsia="zh-CN"/>
        </w:rPr>
      </w:pPr>
      <w:r>
        <w:rPr>
          <w:rFonts w:hint="eastAsia" w:ascii="宋体" w:hAnsi="宋体" w:eastAsia="宋体" w:cs="宋体"/>
        </w:rPr>
        <w:drawing>
          <wp:inline distT="0" distB="0" distL="114300" distR="114300">
            <wp:extent cx="4735830" cy="2707005"/>
            <wp:effectExtent l="0" t="0" r="3175" b="2540"/>
            <wp:docPr id="2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5"/>
                    <pic:cNvPicPr>
                      <a:picLocks noChangeAspect="1"/>
                    </pic:cNvPicPr>
                  </pic:nvPicPr>
                  <pic:blipFill>
                    <a:blip r:embed="rId145"/>
                    <a:srcRect l="1378" t="2184" r="1488" b="1944"/>
                    <a:stretch>
                      <a:fillRect/>
                    </a:stretch>
                  </pic:blipFill>
                  <pic:spPr>
                    <a:xfrm>
                      <a:off x="0" y="0"/>
                      <a:ext cx="4735830" cy="270700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FFA37">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EDD81">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CEEDD81">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7AE5">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9AEC7">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479AEC7">
                    <w:pPr>
                      <w:pStyle w:val="14"/>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01AC0">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5B701AC0">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60B19">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39350">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6C39350">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0BFA6">
    <w:pPr>
      <w:pStyle w:val="15"/>
      <w:jc w:val="right"/>
      <w:rPr>
        <w:rFonts w:hint="eastAsia" w:ascii="宋体" w:hAnsi="宋体" w:eastAsia="宋体" w:cs="宋体"/>
        <w:lang w:val="en-US" w:eastAsia="zh-CN"/>
      </w:rPr>
    </w:pPr>
    <w:r>
      <w:rPr>
        <w:rFonts w:hint="eastAsia" w:ascii="宋体" w:hAnsi="宋体" w:eastAsia="宋体" w:cs="宋体"/>
        <w:color w:val="000000"/>
        <w:spacing w:val="0"/>
        <w:sz w:val="18"/>
        <w:lang w:val="en-US" w:eastAsia="zh-CN"/>
      </w:rPr>
      <w:t>华泰期货MATIC交易终端</w:t>
    </w:r>
    <w:r>
      <w:rPr>
        <w:rFonts w:hint="eastAsia" w:ascii="宋体" w:hAnsi="宋体" w:eastAsia="宋体" w:cs="宋体"/>
        <w:color w:val="000000"/>
        <w:spacing w:val="0"/>
        <w:sz w:val="18"/>
      </w:rPr>
      <w:t>-用户使用</w:t>
    </w:r>
    <w:r>
      <w:rPr>
        <w:rFonts w:hint="eastAsia" w:ascii="宋体" w:hAnsi="宋体" w:eastAsia="宋体" w:cs="宋体"/>
        <w:lang w:val="en-US" w:eastAsia="zh-CN"/>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61B17"/>
    <w:multiLevelType w:val="singleLevel"/>
    <w:tmpl w:val="92061B17"/>
    <w:lvl w:ilvl="0" w:tentative="0">
      <w:start w:val="1"/>
      <w:numFmt w:val="decimal"/>
      <w:suff w:val="nothing"/>
      <w:lvlText w:val="%1、"/>
      <w:lvlJc w:val="left"/>
    </w:lvl>
  </w:abstractNum>
  <w:abstractNum w:abstractNumId="1">
    <w:nsid w:val="A732792B"/>
    <w:multiLevelType w:val="singleLevel"/>
    <w:tmpl w:val="A732792B"/>
    <w:lvl w:ilvl="0" w:tentative="0">
      <w:start w:val="1"/>
      <w:numFmt w:val="decimal"/>
      <w:suff w:val="nothing"/>
      <w:lvlText w:val="%1、"/>
      <w:lvlJc w:val="left"/>
    </w:lvl>
  </w:abstractNum>
  <w:abstractNum w:abstractNumId="2">
    <w:nsid w:val="AD7CE40E"/>
    <w:multiLevelType w:val="singleLevel"/>
    <w:tmpl w:val="AD7CE40E"/>
    <w:lvl w:ilvl="0" w:tentative="0">
      <w:start w:val="2"/>
      <w:numFmt w:val="decimal"/>
      <w:suff w:val="space"/>
      <w:lvlText w:val="%1."/>
      <w:lvlJc w:val="left"/>
    </w:lvl>
  </w:abstractNum>
  <w:abstractNum w:abstractNumId="3">
    <w:nsid w:val="B44622B5"/>
    <w:multiLevelType w:val="singleLevel"/>
    <w:tmpl w:val="B44622B5"/>
    <w:lvl w:ilvl="0" w:tentative="0">
      <w:start w:val="1"/>
      <w:numFmt w:val="decimal"/>
      <w:suff w:val="nothing"/>
      <w:lvlText w:val="（%1）"/>
      <w:lvlJc w:val="left"/>
    </w:lvl>
  </w:abstractNum>
  <w:abstractNum w:abstractNumId="4">
    <w:nsid w:val="BAA2B0BA"/>
    <w:multiLevelType w:val="singleLevel"/>
    <w:tmpl w:val="BAA2B0BA"/>
    <w:lvl w:ilvl="0" w:tentative="0">
      <w:start w:val="1"/>
      <w:numFmt w:val="decimal"/>
      <w:suff w:val="space"/>
      <w:lvlText w:val="%1."/>
      <w:lvlJc w:val="left"/>
    </w:lvl>
  </w:abstractNum>
  <w:abstractNum w:abstractNumId="5">
    <w:nsid w:val="D0D87847"/>
    <w:multiLevelType w:val="singleLevel"/>
    <w:tmpl w:val="D0D87847"/>
    <w:lvl w:ilvl="0" w:tentative="0">
      <w:start w:val="1"/>
      <w:numFmt w:val="decimal"/>
      <w:suff w:val="nothing"/>
      <w:lvlText w:val="（%1）"/>
      <w:lvlJc w:val="left"/>
    </w:lvl>
  </w:abstractNum>
  <w:abstractNum w:abstractNumId="6">
    <w:nsid w:val="DE728204"/>
    <w:multiLevelType w:val="singleLevel"/>
    <w:tmpl w:val="DE728204"/>
    <w:lvl w:ilvl="0" w:tentative="0">
      <w:start w:val="1"/>
      <w:numFmt w:val="decimal"/>
      <w:suff w:val="nothing"/>
      <w:lvlText w:val="（%1）"/>
      <w:lvlJc w:val="left"/>
    </w:lvl>
  </w:abstractNum>
  <w:abstractNum w:abstractNumId="7">
    <w:nsid w:val="F6FA6621"/>
    <w:multiLevelType w:val="singleLevel"/>
    <w:tmpl w:val="F6FA6621"/>
    <w:lvl w:ilvl="0" w:tentative="0">
      <w:start w:val="1"/>
      <w:numFmt w:val="decimal"/>
      <w:suff w:val="nothing"/>
      <w:lvlText w:val="%1、"/>
      <w:lvlJc w:val="left"/>
    </w:lvl>
  </w:abstractNum>
  <w:abstractNum w:abstractNumId="8">
    <w:nsid w:val="F7FCAE92"/>
    <w:multiLevelType w:val="multilevel"/>
    <w:tmpl w:val="F7FCAE92"/>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709" w:hanging="709"/>
      </w:pPr>
      <w:rPr>
        <w:rFonts w:hint="default" w:ascii="宋体" w:hAnsi="宋体" w:eastAsia="宋体" w:cstheme="minorEastAsia"/>
        <w:sz w:val="24"/>
        <w:szCs w:val="24"/>
      </w:rPr>
    </w:lvl>
    <w:lvl w:ilvl="3" w:tentative="0">
      <w:start w:val="1"/>
      <w:numFmt w:val="decimal"/>
      <w:suff w:val="nothing"/>
      <w:lvlText w:val="%1.%2.%3.%4."/>
      <w:lvlJc w:val="left"/>
      <w:pPr>
        <w:ind w:left="850" w:hanging="850"/>
      </w:pPr>
      <w:rPr>
        <w:rFonts w:hint="default" w:ascii="宋体" w:hAnsi="宋体" w:eastAsia="宋体" w:cstheme="minorEastAsia"/>
        <w:b/>
        <w:bCs/>
        <w:sz w:val="24"/>
        <w:szCs w:val="24"/>
      </w:rPr>
    </w:lvl>
    <w:lvl w:ilvl="4" w:tentative="0">
      <w:start w:val="1"/>
      <w:numFmt w:val="decimal"/>
      <w:suff w:val="nothing"/>
      <w:lvlText w:val="%1.%2.%3.%4.%5."/>
      <w:lvlJc w:val="left"/>
      <w:pPr>
        <w:ind w:left="991" w:hanging="991"/>
      </w:pPr>
      <w:rPr>
        <w:rFonts w:hint="default" w:ascii="宋体" w:hAnsi="宋体" w:eastAsia="宋体" w:cs="宋体"/>
        <w:sz w:val="24"/>
        <w:szCs w:val="24"/>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2CA7C08"/>
    <w:multiLevelType w:val="singleLevel"/>
    <w:tmpl w:val="12CA7C08"/>
    <w:lvl w:ilvl="0" w:tentative="0">
      <w:start w:val="1"/>
      <w:numFmt w:val="decimal"/>
      <w:lvlText w:val="%1."/>
      <w:lvlJc w:val="left"/>
      <w:pPr>
        <w:tabs>
          <w:tab w:val="left" w:pos="312"/>
        </w:tabs>
      </w:pPr>
    </w:lvl>
  </w:abstractNum>
  <w:abstractNum w:abstractNumId="10">
    <w:nsid w:val="167E2BD3"/>
    <w:multiLevelType w:val="singleLevel"/>
    <w:tmpl w:val="167E2BD3"/>
    <w:lvl w:ilvl="0" w:tentative="0">
      <w:start w:val="1"/>
      <w:numFmt w:val="decimal"/>
      <w:suff w:val="nothing"/>
      <w:lvlText w:val="（%1）"/>
      <w:lvlJc w:val="left"/>
    </w:lvl>
  </w:abstractNum>
  <w:abstractNum w:abstractNumId="11">
    <w:nsid w:val="2E86A0E1"/>
    <w:multiLevelType w:val="singleLevel"/>
    <w:tmpl w:val="2E86A0E1"/>
    <w:lvl w:ilvl="0" w:tentative="0">
      <w:start w:val="1"/>
      <w:numFmt w:val="decimal"/>
      <w:suff w:val="nothing"/>
      <w:lvlText w:val="（%1）"/>
      <w:lvlJc w:val="left"/>
    </w:lvl>
  </w:abstractNum>
  <w:abstractNum w:abstractNumId="12">
    <w:nsid w:val="30E96A9C"/>
    <w:multiLevelType w:val="singleLevel"/>
    <w:tmpl w:val="30E96A9C"/>
    <w:lvl w:ilvl="0" w:tentative="0">
      <w:start w:val="1"/>
      <w:numFmt w:val="decimal"/>
      <w:suff w:val="nothing"/>
      <w:lvlText w:val="（%1）"/>
      <w:lvlJc w:val="left"/>
    </w:lvl>
  </w:abstractNum>
  <w:abstractNum w:abstractNumId="13">
    <w:nsid w:val="3310BC38"/>
    <w:multiLevelType w:val="singleLevel"/>
    <w:tmpl w:val="3310BC38"/>
    <w:lvl w:ilvl="0" w:tentative="0">
      <w:start w:val="1"/>
      <w:numFmt w:val="decimal"/>
      <w:suff w:val="nothing"/>
      <w:lvlText w:val="（%1）"/>
      <w:lvlJc w:val="left"/>
    </w:lvl>
  </w:abstractNum>
  <w:abstractNum w:abstractNumId="14">
    <w:nsid w:val="4789CEB0"/>
    <w:multiLevelType w:val="multilevel"/>
    <w:tmpl w:val="4789CEB0"/>
    <w:lvl w:ilvl="0" w:tentative="0">
      <w:start w:val="1"/>
      <w:numFmt w:val="decimal"/>
      <w:suff w:val="nothing"/>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53F86FB2"/>
    <w:multiLevelType w:val="singleLevel"/>
    <w:tmpl w:val="53F86FB2"/>
    <w:lvl w:ilvl="0" w:tentative="0">
      <w:start w:val="1"/>
      <w:numFmt w:val="decimal"/>
      <w:suff w:val="nothing"/>
      <w:lvlText w:val="（%1）"/>
      <w:lvlJc w:val="left"/>
    </w:lvl>
  </w:abstractNum>
  <w:abstractNum w:abstractNumId="16">
    <w:nsid w:val="54B48550"/>
    <w:multiLevelType w:val="singleLevel"/>
    <w:tmpl w:val="54B48550"/>
    <w:lvl w:ilvl="0" w:tentative="0">
      <w:start w:val="1"/>
      <w:numFmt w:val="decimal"/>
      <w:suff w:val="nothing"/>
      <w:lvlText w:val="（%1）"/>
      <w:lvlJc w:val="left"/>
    </w:lvl>
  </w:abstractNum>
  <w:abstractNum w:abstractNumId="17">
    <w:nsid w:val="6CA7C9FB"/>
    <w:multiLevelType w:val="singleLevel"/>
    <w:tmpl w:val="6CA7C9FB"/>
    <w:lvl w:ilvl="0" w:tentative="0">
      <w:start w:val="1"/>
      <w:numFmt w:val="decimal"/>
      <w:suff w:val="nothing"/>
      <w:lvlText w:val="（%1）"/>
      <w:lvlJc w:val="left"/>
    </w:lvl>
  </w:abstractNum>
  <w:abstractNum w:abstractNumId="18">
    <w:nsid w:val="79F1DD25"/>
    <w:multiLevelType w:val="singleLevel"/>
    <w:tmpl w:val="79F1DD25"/>
    <w:lvl w:ilvl="0" w:tentative="0">
      <w:start w:val="1"/>
      <w:numFmt w:val="decimal"/>
      <w:lvlText w:val="%1."/>
      <w:lvlJc w:val="left"/>
      <w:pPr>
        <w:tabs>
          <w:tab w:val="left" w:pos="312"/>
        </w:tabs>
      </w:pPr>
    </w:lvl>
  </w:abstractNum>
  <w:abstractNum w:abstractNumId="19">
    <w:nsid w:val="7CAA2BCA"/>
    <w:multiLevelType w:val="singleLevel"/>
    <w:tmpl w:val="7CAA2BCA"/>
    <w:lvl w:ilvl="0" w:tentative="0">
      <w:start w:val="1"/>
      <w:numFmt w:val="decimal"/>
      <w:suff w:val="nothing"/>
      <w:lvlText w:val="（%1）"/>
      <w:lvlJc w:val="left"/>
    </w:lvl>
  </w:abstractNum>
  <w:num w:numId="1">
    <w:abstractNumId w:val="14"/>
  </w:num>
  <w:num w:numId="2">
    <w:abstractNumId w:val="8"/>
  </w:num>
  <w:num w:numId="3">
    <w:abstractNumId w:val="5"/>
  </w:num>
  <w:num w:numId="4">
    <w:abstractNumId w:val="15"/>
  </w:num>
  <w:num w:numId="5">
    <w:abstractNumId w:val="12"/>
  </w:num>
  <w:num w:numId="6">
    <w:abstractNumId w:val="7"/>
  </w:num>
  <w:num w:numId="7">
    <w:abstractNumId w:val="1"/>
  </w:num>
  <w:num w:numId="8">
    <w:abstractNumId w:val="0"/>
  </w:num>
  <w:num w:numId="9">
    <w:abstractNumId w:val="13"/>
  </w:num>
  <w:num w:numId="10">
    <w:abstractNumId w:val="17"/>
  </w:num>
  <w:num w:numId="11">
    <w:abstractNumId w:val="4"/>
  </w:num>
  <w:num w:numId="12">
    <w:abstractNumId w:val="2"/>
  </w:num>
  <w:num w:numId="13">
    <w:abstractNumId w:val="6"/>
  </w:num>
  <w:num w:numId="14">
    <w:abstractNumId w:val="19"/>
  </w:num>
  <w:num w:numId="15">
    <w:abstractNumId w:val="16"/>
  </w:num>
  <w:num w:numId="16">
    <w:abstractNumId w:val="11"/>
  </w:num>
  <w:num w:numId="17">
    <w:abstractNumId w:val="3"/>
  </w:num>
  <w:num w:numId="18">
    <w:abstractNumId w:val="10"/>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NWI2MzMyMDk0N2NmNjRhY2Q2Zjk3NGZjNDg0NWQifQ=="/>
  </w:docVars>
  <w:rsids>
    <w:rsidRoot w:val="750F4CE2"/>
    <w:rsid w:val="00894880"/>
    <w:rsid w:val="011C648D"/>
    <w:rsid w:val="01626374"/>
    <w:rsid w:val="01894934"/>
    <w:rsid w:val="01AD7EA4"/>
    <w:rsid w:val="01E231B8"/>
    <w:rsid w:val="020016E9"/>
    <w:rsid w:val="0200793B"/>
    <w:rsid w:val="0233386D"/>
    <w:rsid w:val="04077A46"/>
    <w:rsid w:val="04477AA3"/>
    <w:rsid w:val="047F0C96"/>
    <w:rsid w:val="04A24CDA"/>
    <w:rsid w:val="051511A8"/>
    <w:rsid w:val="05323C89"/>
    <w:rsid w:val="05396922"/>
    <w:rsid w:val="056F2E0E"/>
    <w:rsid w:val="061B2209"/>
    <w:rsid w:val="06EF64EF"/>
    <w:rsid w:val="0746218D"/>
    <w:rsid w:val="081F25E1"/>
    <w:rsid w:val="089E3A0A"/>
    <w:rsid w:val="0935611C"/>
    <w:rsid w:val="09B2776D"/>
    <w:rsid w:val="09BA2AC6"/>
    <w:rsid w:val="0B364F7A"/>
    <w:rsid w:val="0B872A8F"/>
    <w:rsid w:val="0BA13F3D"/>
    <w:rsid w:val="0BC25BFF"/>
    <w:rsid w:val="0C281F69"/>
    <w:rsid w:val="0C5E6843"/>
    <w:rsid w:val="0CC94EBC"/>
    <w:rsid w:val="0CDC5E82"/>
    <w:rsid w:val="0CE4731D"/>
    <w:rsid w:val="0D0227BA"/>
    <w:rsid w:val="0DD04666"/>
    <w:rsid w:val="0E625CB6"/>
    <w:rsid w:val="0EAD177A"/>
    <w:rsid w:val="0EB02976"/>
    <w:rsid w:val="0EEE649D"/>
    <w:rsid w:val="0EF0305B"/>
    <w:rsid w:val="0FB35FED"/>
    <w:rsid w:val="0FC14BAE"/>
    <w:rsid w:val="0FDC047D"/>
    <w:rsid w:val="0FDE750E"/>
    <w:rsid w:val="100219E7"/>
    <w:rsid w:val="100A0195"/>
    <w:rsid w:val="101920E6"/>
    <w:rsid w:val="10DC23A3"/>
    <w:rsid w:val="10EB78F5"/>
    <w:rsid w:val="11407D54"/>
    <w:rsid w:val="11FC5119"/>
    <w:rsid w:val="126B7799"/>
    <w:rsid w:val="12B156D7"/>
    <w:rsid w:val="12CA1FCB"/>
    <w:rsid w:val="13224277"/>
    <w:rsid w:val="136043D7"/>
    <w:rsid w:val="13FC109B"/>
    <w:rsid w:val="142B7C44"/>
    <w:rsid w:val="149A3C1F"/>
    <w:rsid w:val="14C52A4A"/>
    <w:rsid w:val="154F351B"/>
    <w:rsid w:val="15535E8C"/>
    <w:rsid w:val="15812E0C"/>
    <w:rsid w:val="158A5A42"/>
    <w:rsid w:val="15980E11"/>
    <w:rsid w:val="15B07E8C"/>
    <w:rsid w:val="160E7877"/>
    <w:rsid w:val="16113A6D"/>
    <w:rsid w:val="16774218"/>
    <w:rsid w:val="16B41B7E"/>
    <w:rsid w:val="16F731DA"/>
    <w:rsid w:val="17007B85"/>
    <w:rsid w:val="17280647"/>
    <w:rsid w:val="178845AC"/>
    <w:rsid w:val="18131D1F"/>
    <w:rsid w:val="181A30AD"/>
    <w:rsid w:val="185F480A"/>
    <w:rsid w:val="186A43BF"/>
    <w:rsid w:val="18890F3E"/>
    <w:rsid w:val="18954E2A"/>
    <w:rsid w:val="18966DFE"/>
    <w:rsid w:val="18ED10AA"/>
    <w:rsid w:val="19A02302"/>
    <w:rsid w:val="1A74457E"/>
    <w:rsid w:val="1B3E5305"/>
    <w:rsid w:val="1B412344"/>
    <w:rsid w:val="1B464EA3"/>
    <w:rsid w:val="1B5508A0"/>
    <w:rsid w:val="1BA62EAA"/>
    <w:rsid w:val="1BEA723A"/>
    <w:rsid w:val="1C077DEC"/>
    <w:rsid w:val="1C3242E6"/>
    <w:rsid w:val="1C3F7586"/>
    <w:rsid w:val="1C4C3A51"/>
    <w:rsid w:val="1CB3587E"/>
    <w:rsid w:val="1CE65C54"/>
    <w:rsid w:val="1D246635"/>
    <w:rsid w:val="1D5C5F16"/>
    <w:rsid w:val="1D874E6B"/>
    <w:rsid w:val="1DCA77EF"/>
    <w:rsid w:val="1DE33F41"/>
    <w:rsid w:val="1EB65C4B"/>
    <w:rsid w:val="1EED5B4D"/>
    <w:rsid w:val="1EFE61C4"/>
    <w:rsid w:val="1F2F3D0D"/>
    <w:rsid w:val="1F42509E"/>
    <w:rsid w:val="1F6D3CAF"/>
    <w:rsid w:val="20970344"/>
    <w:rsid w:val="20DB1848"/>
    <w:rsid w:val="2139508E"/>
    <w:rsid w:val="21535882"/>
    <w:rsid w:val="218B501C"/>
    <w:rsid w:val="218E5FB9"/>
    <w:rsid w:val="22372D05"/>
    <w:rsid w:val="22393715"/>
    <w:rsid w:val="22916C36"/>
    <w:rsid w:val="2377069B"/>
    <w:rsid w:val="247826A7"/>
    <w:rsid w:val="24861ACA"/>
    <w:rsid w:val="248D349F"/>
    <w:rsid w:val="24912949"/>
    <w:rsid w:val="24AE06A4"/>
    <w:rsid w:val="25D32D3D"/>
    <w:rsid w:val="25E46AA9"/>
    <w:rsid w:val="26376C75"/>
    <w:rsid w:val="26930A80"/>
    <w:rsid w:val="27473793"/>
    <w:rsid w:val="2756664D"/>
    <w:rsid w:val="276D0E05"/>
    <w:rsid w:val="27E823ED"/>
    <w:rsid w:val="28190A2D"/>
    <w:rsid w:val="297C2C9D"/>
    <w:rsid w:val="2A4F3F4C"/>
    <w:rsid w:val="2AF3157A"/>
    <w:rsid w:val="2B004385"/>
    <w:rsid w:val="2BC91EAB"/>
    <w:rsid w:val="2BD31A92"/>
    <w:rsid w:val="2BFD4C22"/>
    <w:rsid w:val="2C153C28"/>
    <w:rsid w:val="2C1E1185"/>
    <w:rsid w:val="2C55425C"/>
    <w:rsid w:val="2C557E64"/>
    <w:rsid w:val="2C917D0E"/>
    <w:rsid w:val="2CB52F4D"/>
    <w:rsid w:val="2D1934DC"/>
    <w:rsid w:val="2D3C5444"/>
    <w:rsid w:val="2D4C09A3"/>
    <w:rsid w:val="2D686211"/>
    <w:rsid w:val="2DEA0F78"/>
    <w:rsid w:val="2DF43FF2"/>
    <w:rsid w:val="2DF814A5"/>
    <w:rsid w:val="2E307C0F"/>
    <w:rsid w:val="2E8C2CB2"/>
    <w:rsid w:val="2EE23DA1"/>
    <w:rsid w:val="2EEA0214"/>
    <w:rsid w:val="2EEB70FA"/>
    <w:rsid w:val="2F5A7538"/>
    <w:rsid w:val="2F963509"/>
    <w:rsid w:val="2FAA6FB7"/>
    <w:rsid w:val="2FFB572C"/>
    <w:rsid w:val="300C590B"/>
    <w:rsid w:val="30222A1F"/>
    <w:rsid w:val="31CC701F"/>
    <w:rsid w:val="31E85B72"/>
    <w:rsid w:val="31E87583"/>
    <w:rsid w:val="32053A0B"/>
    <w:rsid w:val="320E382B"/>
    <w:rsid w:val="32126FFE"/>
    <w:rsid w:val="32144BB9"/>
    <w:rsid w:val="321626E0"/>
    <w:rsid w:val="323B71BC"/>
    <w:rsid w:val="32B15F03"/>
    <w:rsid w:val="32DD31FD"/>
    <w:rsid w:val="33662A43"/>
    <w:rsid w:val="338E62A6"/>
    <w:rsid w:val="34483CC8"/>
    <w:rsid w:val="345834F7"/>
    <w:rsid w:val="357925B1"/>
    <w:rsid w:val="35892D8A"/>
    <w:rsid w:val="35C9771B"/>
    <w:rsid w:val="36327824"/>
    <w:rsid w:val="364D4704"/>
    <w:rsid w:val="365B6913"/>
    <w:rsid w:val="36993DCA"/>
    <w:rsid w:val="36B9188B"/>
    <w:rsid w:val="36C25732"/>
    <w:rsid w:val="36D84407"/>
    <w:rsid w:val="36DF7127"/>
    <w:rsid w:val="37801D73"/>
    <w:rsid w:val="37843EA3"/>
    <w:rsid w:val="38EE2C43"/>
    <w:rsid w:val="39A405D1"/>
    <w:rsid w:val="39EB4452"/>
    <w:rsid w:val="39ED4E59"/>
    <w:rsid w:val="3A4F20D3"/>
    <w:rsid w:val="3AA6541B"/>
    <w:rsid w:val="3AC3743F"/>
    <w:rsid w:val="3B1E2BB4"/>
    <w:rsid w:val="3B4262F3"/>
    <w:rsid w:val="3B5166FD"/>
    <w:rsid w:val="3C161920"/>
    <w:rsid w:val="3C445419"/>
    <w:rsid w:val="3C84276D"/>
    <w:rsid w:val="3C8B5A78"/>
    <w:rsid w:val="3CB23005"/>
    <w:rsid w:val="3D485717"/>
    <w:rsid w:val="3D65276D"/>
    <w:rsid w:val="3E410AE4"/>
    <w:rsid w:val="40053DD9"/>
    <w:rsid w:val="405E1187"/>
    <w:rsid w:val="40C1415E"/>
    <w:rsid w:val="41526B64"/>
    <w:rsid w:val="42B7048F"/>
    <w:rsid w:val="435F5395"/>
    <w:rsid w:val="436B7354"/>
    <w:rsid w:val="43C95804"/>
    <w:rsid w:val="43E908BD"/>
    <w:rsid w:val="444035EC"/>
    <w:rsid w:val="445D3843"/>
    <w:rsid w:val="448750D5"/>
    <w:rsid w:val="45783CBB"/>
    <w:rsid w:val="45992314"/>
    <w:rsid w:val="45E5444B"/>
    <w:rsid w:val="45EF532E"/>
    <w:rsid w:val="45FB1DB6"/>
    <w:rsid w:val="46184CBD"/>
    <w:rsid w:val="466874E9"/>
    <w:rsid w:val="46F71DDA"/>
    <w:rsid w:val="4723347D"/>
    <w:rsid w:val="47321912"/>
    <w:rsid w:val="478163F5"/>
    <w:rsid w:val="47B5127A"/>
    <w:rsid w:val="47CB141F"/>
    <w:rsid w:val="47CD6F16"/>
    <w:rsid w:val="484F25B3"/>
    <w:rsid w:val="488A3088"/>
    <w:rsid w:val="48984880"/>
    <w:rsid w:val="48AE355E"/>
    <w:rsid w:val="49170DBF"/>
    <w:rsid w:val="49276DAF"/>
    <w:rsid w:val="49505E3A"/>
    <w:rsid w:val="4A5C4B6A"/>
    <w:rsid w:val="4A983369"/>
    <w:rsid w:val="4AE01685"/>
    <w:rsid w:val="4B5F6CE3"/>
    <w:rsid w:val="4BBC5FD6"/>
    <w:rsid w:val="4BBE3774"/>
    <w:rsid w:val="4BD765E4"/>
    <w:rsid w:val="4CB716E0"/>
    <w:rsid w:val="4CE756A8"/>
    <w:rsid w:val="4D463C5A"/>
    <w:rsid w:val="4D8E7176"/>
    <w:rsid w:val="4DC64B62"/>
    <w:rsid w:val="4E7A03FC"/>
    <w:rsid w:val="4E8963F8"/>
    <w:rsid w:val="4E9E2B87"/>
    <w:rsid w:val="4ED52926"/>
    <w:rsid w:val="4EE5084A"/>
    <w:rsid w:val="4F2117B1"/>
    <w:rsid w:val="4F371833"/>
    <w:rsid w:val="4F8A662E"/>
    <w:rsid w:val="50013B0C"/>
    <w:rsid w:val="50A8774B"/>
    <w:rsid w:val="51707E00"/>
    <w:rsid w:val="522E5D3A"/>
    <w:rsid w:val="52B84FC2"/>
    <w:rsid w:val="52C6300A"/>
    <w:rsid w:val="52F928BD"/>
    <w:rsid w:val="52FB7A88"/>
    <w:rsid w:val="53C848E0"/>
    <w:rsid w:val="53FD61D7"/>
    <w:rsid w:val="543C16DA"/>
    <w:rsid w:val="544B23F9"/>
    <w:rsid w:val="55094D64"/>
    <w:rsid w:val="55150D97"/>
    <w:rsid w:val="55AA552D"/>
    <w:rsid w:val="56341561"/>
    <w:rsid w:val="563B05ED"/>
    <w:rsid w:val="564C33E3"/>
    <w:rsid w:val="56797CEA"/>
    <w:rsid w:val="567C6706"/>
    <w:rsid w:val="56C13C5E"/>
    <w:rsid w:val="57014E5D"/>
    <w:rsid w:val="57FE1F46"/>
    <w:rsid w:val="58267FF6"/>
    <w:rsid w:val="58B959EF"/>
    <w:rsid w:val="59604634"/>
    <w:rsid w:val="5A364E1D"/>
    <w:rsid w:val="5A512369"/>
    <w:rsid w:val="5A820986"/>
    <w:rsid w:val="5AB0697E"/>
    <w:rsid w:val="5B0F3458"/>
    <w:rsid w:val="5B1F1D55"/>
    <w:rsid w:val="5B2D6220"/>
    <w:rsid w:val="5BEE226D"/>
    <w:rsid w:val="5C115B42"/>
    <w:rsid w:val="5C5E42AF"/>
    <w:rsid w:val="5CC42BB4"/>
    <w:rsid w:val="5CDF4E5B"/>
    <w:rsid w:val="5CE84AF5"/>
    <w:rsid w:val="5D7E0072"/>
    <w:rsid w:val="5E063EF5"/>
    <w:rsid w:val="5E546A47"/>
    <w:rsid w:val="5E5E5C71"/>
    <w:rsid w:val="5E7A44C7"/>
    <w:rsid w:val="5ECB2508"/>
    <w:rsid w:val="5F0810C1"/>
    <w:rsid w:val="5FB26F0A"/>
    <w:rsid w:val="5FC5466E"/>
    <w:rsid w:val="60495C2E"/>
    <w:rsid w:val="60614C15"/>
    <w:rsid w:val="612E6F74"/>
    <w:rsid w:val="61563D8A"/>
    <w:rsid w:val="617118C6"/>
    <w:rsid w:val="61E73951"/>
    <w:rsid w:val="62D87B9F"/>
    <w:rsid w:val="62F33D78"/>
    <w:rsid w:val="630A5099"/>
    <w:rsid w:val="637813ED"/>
    <w:rsid w:val="6400429E"/>
    <w:rsid w:val="641D3309"/>
    <w:rsid w:val="641F3099"/>
    <w:rsid w:val="64632CB3"/>
    <w:rsid w:val="64772F11"/>
    <w:rsid w:val="648C33EE"/>
    <w:rsid w:val="64903B4A"/>
    <w:rsid w:val="64C52DA3"/>
    <w:rsid w:val="64F23420"/>
    <w:rsid w:val="653E319A"/>
    <w:rsid w:val="653F0E11"/>
    <w:rsid w:val="65532D27"/>
    <w:rsid w:val="65561E5B"/>
    <w:rsid w:val="66702BA5"/>
    <w:rsid w:val="66C0263F"/>
    <w:rsid w:val="66E3632D"/>
    <w:rsid w:val="67362901"/>
    <w:rsid w:val="673F4CC4"/>
    <w:rsid w:val="67674868"/>
    <w:rsid w:val="67EB086B"/>
    <w:rsid w:val="68332DC4"/>
    <w:rsid w:val="68E16B46"/>
    <w:rsid w:val="69BE2664"/>
    <w:rsid w:val="69CF67F0"/>
    <w:rsid w:val="6B74714D"/>
    <w:rsid w:val="6B7F6714"/>
    <w:rsid w:val="6BF12397"/>
    <w:rsid w:val="6D653287"/>
    <w:rsid w:val="6EB42E26"/>
    <w:rsid w:val="6ECA1F29"/>
    <w:rsid w:val="6EF336C8"/>
    <w:rsid w:val="6F382929"/>
    <w:rsid w:val="6F3F2FDE"/>
    <w:rsid w:val="6F7C7D04"/>
    <w:rsid w:val="6FAA7397"/>
    <w:rsid w:val="6FD66B17"/>
    <w:rsid w:val="6FE872A8"/>
    <w:rsid w:val="70074C3C"/>
    <w:rsid w:val="700D50E9"/>
    <w:rsid w:val="716E4A51"/>
    <w:rsid w:val="71D945B4"/>
    <w:rsid w:val="71DB657E"/>
    <w:rsid w:val="729B5D0E"/>
    <w:rsid w:val="7425388F"/>
    <w:rsid w:val="74793E2D"/>
    <w:rsid w:val="74C2787E"/>
    <w:rsid w:val="750B33B4"/>
    <w:rsid w:val="750F4CE2"/>
    <w:rsid w:val="75976C5E"/>
    <w:rsid w:val="75F312DA"/>
    <w:rsid w:val="77191332"/>
    <w:rsid w:val="7750560B"/>
    <w:rsid w:val="77A01077"/>
    <w:rsid w:val="786324A7"/>
    <w:rsid w:val="789254BD"/>
    <w:rsid w:val="78B1153B"/>
    <w:rsid w:val="78CA5B22"/>
    <w:rsid w:val="79A27982"/>
    <w:rsid w:val="7A406FE4"/>
    <w:rsid w:val="7B594FCC"/>
    <w:rsid w:val="7C0D03BB"/>
    <w:rsid w:val="7CD34AA3"/>
    <w:rsid w:val="7D3F7243"/>
    <w:rsid w:val="7DB3215D"/>
    <w:rsid w:val="7DB979D8"/>
    <w:rsid w:val="7DD722F0"/>
    <w:rsid w:val="7ED739A8"/>
    <w:rsid w:val="7EFB0FF1"/>
    <w:rsid w:val="7F7558C8"/>
    <w:rsid w:val="7F7B72FB"/>
    <w:rsid w:val="7F9B10FB"/>
    <w:rsid w:val="7FCB4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26"/>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25"/>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10">
    <w:name w:val="toc 7"/>
    <w:basedOn w:val="1"/>
    <w:next w:val="1"/>
    <w:autoRedefine/>
    <w:qFormat/>
    <w:uiPriority w:val="0"/>
    <w:pPr>
      <w:ind w:left="2520" w:leftChars="1200"/>
    </w:pPr>
  </w:style>
  <w:style w:type="paragraph" w:styleId="11">
    <w:name w:val="toc 5"/>
    <w:basedOn w:val="1"/>
    <w:next w:val="1"/>
    <w:autoRedefine/>
    <w:qFormat/>
    <w:uiPriority w:val="0"/>
    <w:pPr>
      <w:ind w:left="1680" w:leftChars="800"/>
    </w:pPr>
  </w:style>
  <w:style w:type="paragraph" w:styleId="12">
    <w:name w:val="toc 3"/>
    <w:basedOn w:val="1"/>
    <w:next w:val="1"/>
    <w:autoRedefine/>
    <w:qFormat/>
    <w:uiPriority w:val="0"/>
    <w:pPr>
      <w:ind w:left="840" w:leftChars="400"/>
    </w:pPr>
  </w:style>
  <w:style w:type="paragraph" w:styleId="13">
    <w:name w:val="Plain Text"/>
    <w:basedOn w:val="1"/>
    <w:qFormat/>
    <w:uiPriority w:val="0"/>
    <w:rPr>
      <w:rFonts w:ascii="宋体" w:hAnsi="Courier New"/>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4"/>
    <w:basedOn w:val="1"/>
    <w:next w:val="1"/>
    <w:autoRedefine/>
    <w:qFormat/>
    <w:uiPriority w:val="0"/>
    <w:pPr>
      <w:ind w:left="1260" w:leftChars="600"/>
    </w:pPr>
  </w:style>
  <w:style w:type="paragraph" w:styleId="18">
    <w:name w:val="toc 6"/>
    <w:basedOn w:val="1"/>
    <w:next w:val="1"/>
    <w:autoRedefine/>
    <w:qFormat/>
    <w:uiPriority w:val="0"/>
    <w:pPr>
      <w:ind w:left="2100" w:leftChars="1000"/>
    </w:pPr>
  </w:style>
  <w:style w:type="paragraph" w:styleId="19">
    <w:name w:val="toc 2"/>
    <w:basedOn w:val="1"/>
    <w:next w:val="1"/>
    <w:autoRedefine/>
    <w:qFormat/>
    <w:uiPriority w:val="0"/>
    <w:pPr>
      <w:ind w:left="420" w:left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0"/>
    <w:rPr>
      <w:b/>
    </w:rPr>
  </w:style>
  <w:style w:type="character" w:styleId="24">
    <w:name w:val="Hyperlink"/>
    <w:basedOn w:val="22"/>
    <w:qFormat/>
    <w:uiPriority w:val="0"/>
    <w:rPr>
      <w:color w:val="0000FF"/>
      <w:u w:val="single"/>
    </w:rPr>
  </w:style>
  <w:style w:type="character" w:customStyle="1" w:styleId="25">
    <w:name w:val="标题 5 Char"/>
    <w:link w:val="6"/>
    <w:autoRedefine/>
    <w:qFormat/>
    <w:uiPriority w:val="0"/>
    <w:rPr>
      <w:b/>
      <w:sz w:val="28"/>
    </w:rPr>
  </w:style>
  <w:style w:type="character" w:customStyle="1" w:styleId="26">
    <w:name w:val="标题 4 Char"/>
    <w:link w:val="5"/>
    <w:autoRedefine/>
    <w:qFormat/>
    <w:uiPriority w:val="0"/>
    <w:rPr>
      <w:rFonts w:ascii="Arial" w:hAnsi="Arial" w:eastAsia="黑体"/>
      <w:b/>
      <w:sz w:val="28"/>
    </w:rPr>
  </w:style>
  <w:style w:type="paragraph" w:customStyle="1" w:styleId="2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9">
    <w:name w:val="WPSOffice手动目录 3"/>
    <w:autoRedefine/>
    <w:qFormat/>
    <w:uiPriority w:val="0"/>
    <w:pPr>
      <w:ind w:leftChars="400"/>
    </w:pPr>
    <w:rPr>
      <w:rFonts w:asciiTheme="minorHAnsi" w:hAnsiTheme="minorHAnsi" w:eastAsiaTheme="minorEastAsia" w:cstheme="minorBidi"/>
      <w:sz w:val="20"/>
      <w:szCs w:val="20"/>
    </w:rPr>
  </w:style>
  <w:style w:type="table" w:customStyle="1" w:styleId="30">
    <w:name w:val="Table Normal"/>
    <w:autoRedefine/>
    <w:semiHidden/>
    <w:unhideWhenUsed/>
    <w:qFormat/>
    <w:uiPriority w:val="2"/>
    <w:tblPr>
      <w:tblCellMar>
        <w:top w:w="0" w:type="dxa"/>
        <w:left w:w="0" w:type="dxa"/>
        <w:bottom w:w="0" w:type="dxa"/>
        <w:right w:w="0" w:type="dxa"/>
      </w:tblCellMar>
    </w:tblPr>
  </w:style>
  <w:style w:type="character" w:customStyle="1" w:styleId="31">
    <w:name w:val="content-right_2s-h4"/>
    <w:basedOn w:val="22"/>
    <w:qFormat/>
    <w:uiPriority w:val="0"/>
  </w:style>
  <w:style w:type="paragraph" w:styleId="32">
    <w:name w:val="List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8" Type="http://schemas.openxmlformats.org/officeDocument/2006/relationships/fontTable" Target="fontTable.xml"/><Relationship Id="rId147" Type="http://schemas.openxmlformats.org/officeDocument/2006/relationships/numbering" Target="numbering.xml"/><Relationship Id="rId146" Type="http://schemas.openxmlformats.org/officeDocument/2006/relationships/customXml" Target="../customXml/item1.xml"/><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4916</Words>
  <Characters>5693</Characters>
  <Lines>0</Lines>
  <Paragraphs>0</Paragraphs>
  <TotalTime>7</TotalTime>
  <ScaleCrop>false</ScaleCrop>
  <LinksUpToDate>false</LinksUpToDate>
  <CharactersWithSpaces>6090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2023-08-11T01:24:00Z</dcterms:created>
  <dc:creator>程序猿小胡</dc:creator>
  <cp:lastModifiedBy>冰然</cp:lastModifiedBy>
  <dcterms:modified xsi:type="dcterms:W3CDTF">2024-12-26T04:25:45Z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65AD19177CB244E8BAD5DD26F16898B7_13</vt:lpwstr>
  </property>
  <property fmtid="{D5CDD505-2E9C-101B-9397-08002B2CF9AE}" pid="4" name="KSOTemplateDocerSaveRecord">
    <vt:lpwstr>eyJoZGlkIjoiZjQyNWI2MzMyMDk0N2NmNjRhY2Q2Zjk3NGZjNDg0NWQiLCJ1c2VySWQiOiI0NTExMjExMTgifQ==</vt:lpwstr>
  </property>
</Properties>
</file>