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《</w:t>
      </w:r>
      <w:r>
        <w:rPr>
          <w:rFonts w:hint="eastAsia"/>
          <w:b/>
          <w:sz w:val="44"/>
          <w:szCs w:val="44"/>
        </w:rPr>
        <w:t>郑州商品交易所对二甲苯期货业务细则</w:t>
      </w:r>
      <w:r>
        <w:rPr>
          <w:rFonts w:hint="eastAsia"/>
          <w:b/>
          <w:sz w:val="44"/>
          <w:szCs w:val="44"/>
          <w:lang w:eastAsia="zh-CN"/>
        </w:rPr>
        <w:t>》</w:t>
      </w:r>
      <w:r>
        <w:rPr>
          <w:rFonts w:hint="eastAsia"/>
          <w:b/>
          <w:sz w:val="44"/>
          <w:szCs w:val="44"/>
        </w:rPr>
        <w:t>修订案</w:t>
      </w:r>
    </w:p>
    <w:p>
      <w:pPr>
        <w:ind w:firstLine="560" w:firstLineChars="200"/>
        <w:rPr>
          <w:rFonts w:hint="default" w:ascii="Times New Roman" w:hAnsi="Times New Roman" w:eastAsia="楷体" w:cs="Times New Roman"/>
          <w:kern w:val="0"/>
          <w:sz w:val="28"/>
          <w:szCs w:val="28"/>
        </w:rPr>
      </w:pP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（2024年10月8日郑州商品交易所第八届理事会第十八次会议审议通过，自</w:t>
      </w:r>
      <w:r>
        <w:rPr>
          <w:rFonts w:hint="eastAsia" w:eastAsia="楷体" w:cs="Times New Roman"/>
          <w:sz w:val="28"/>
          <w:szCs w:val="28"/>
          <w:lang w:val="en-US" w:eastAsia="zh-CN"/>
        </w:rPr>
        <w:t>2024年11月7日</w:t>
      </w:r>
      <w:r>
        <w:rPr>
          <w:rFonts w:hint="default" w:ascii="Times New Roman" w:hAnsi="Times New Roman" w:eastAsia="楷体" w:cs="Times New Roman"/>
          <w:sz w:val="28"/>
          <w:szCs w:val="28"/>
          <w:lang w:val="en-US" w:eastAsia="zh-CN"/>
        </w:rPr>
        <w:t>起施行</w:t>
      </w:r>
      <w:r>
        <w:rPr>
          <w:rFonts w:hint="default" w:ascii="Times New Roman" w:hAnsi="Times New Roman" w:eastAsia="楷体" w:cs="Times New Roman"/>
          <w:kern w:val="0"/>
          <w:sz w:val="28"/>
          <w:szCs w:val="28"/>
        </w:rPr>
        <w:t>）</w:t>
      </w:r>
    </w:p>
    <w:p>
      <w:pPr>
        <w:ind w:firstLine="640" w:firstLineChars="200"/>
        <w:rPr>
          <w:rFonts w:eastAsia="仿宋"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对《郑州商品交易所对二甲苯期货业务细则》作如下修订：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将第四十九条第一款修订为：</w:t>
      </w:r>
    </w:p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“对二甲苯期货合约限仓标准见下表：</w:t>
      </w:r>
    </w:p>
    <w:tbl>
      <w:tblPr>
        <w:tblStyle w:val="5"/>
        <w:tblW w:w="8505" w:type="dxa"/>
        <w:tblInd w:w="108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51"/>
        <w:gridCol w:w="4654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交易时间段</w:t>
            </w:r>
          </w:p>
        </w:tc>
        <w:tc>
          <w:tcPr>
            <w:tcW w:w="4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非期货公司会员和客户的最大单边持仓量（手）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2" w:hRule="atLeast"/>
        </w:trPr>
        <w:tc>
          <w:tcPr>
            <w:tcW w:w="3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自合约挂牌至交割月前二个月最后一个日历日期间的交易日</w:t>
            </w:r>
          </w:p>
        </w:tc>
        <w:tc>
          <w:tcPr>
            <w:tcW w:w="46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6000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2" w:hRule="atLeast"/>
        </w:trPr>
        <w:tc>
          <w:tcPr>
            <w:tcW w:w="3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自交割月前一个月第一个日历日至交割月前一个月第15个日历日期间的交易日</w:t>
            </w:r>
          </w:p>
        </w:tc>
        <w:tc>
          <w:tcPr>
            <w:tcW w:w="46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4000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2" w:hRule="atLeast"/>
        </w:trPr>
        <w:tc>
          <w:tcPr>
            <w:tcW w:w="3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自交割月前一个月第16个日历日至交割月前一个月最后一个日历日期间的交易日</w:t>
            </w:r>
          </w:p>
        </w:tc>
        <w:tc>
          <w:tcPr>
            <w:tcW w:w="46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3000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交割月份</w:t>
            </w:r>
          </w:p>
        </w:tc>
        <w:tc>
          <w:tcPr>
            <w:tcW w:w="46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2000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（自然人客户最大单边持仓量为0）</w:t>
            </w:r>
          </w:p>
        </w:tc>
      </w:tr>
    </w:tbl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”</w:t>
      </w:r>
    </w:p>
    <w:p>
      <w:pPr>
        <w:widowControl/>
        <w:jc w:val="center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br w:type="page"/>
      </w:r>
      <w:r>
        <w:rPr>
          <w:rFonts w:hint="eastAsia"/>
          <w:b/>
          <w:sz w:val="44"/>
          <w:szCs w:val="44"/>
        </w:rPr>
        <w:t>《郑州商品交易所对二甲苯期货业务细则》修订条款对照</w:t>
      </w:r>
    </w:p>
    <w:p>
      <w:pPr>
        <w:ind w:firstLine="640" w:firstLineChars="200"/>
        <w:rPr>
          <w:rFonts w:eastAsia="楷体"/>
          <w:sz w:val="32"/>
          <w:szCs w:val="32"/>
        </w:rPr>
      </w:pPr>
      <w:r>
        <w:rPr>
          <w:rFonts w:hint="eastAsia" w:eastAsia="楷体"/>
          <w:sz w:val="32"/>
          <w:szCs w:val="32"/>
        </w:rPr>
        <w:t>（删除线部分为删除，下划线加粗部分为修改增加）</w:t>
      </w:r>
    </w:p>
    <w:p>
      <w:pPr>
        <w:ind w:firstLine="640" w:firstLineChars="200"/>
        <w:rPr>
          <w:rFonts w:eastAsia="仿宋"/>
          <w:sz w:val="32"/>
          <w:szCs w:val="32"/>
        </w:rPr>
      </w:pPr>
    </w:p>
    <w:p>
      <w:pPr>
        <w:widowControl/>
        <w:shd w:val="clear" w:color="auto" w:fill="FFFFFF"/>
        <w:spacing w:after="150" w:line="450" w:lineRule="atLeast"/>
        <w:ind w:firstLine="56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第四十九条</w:t>
      </w:r>
      <w:r>
        <w:rPr>
          <w:rFonts w:hint="default" w:ascii="Times New Roman" w:hAnsi="Times New Roman" w:eastAsia="仿宋" w:cs="Times New Roman"/>
          <w:sz w:val="32"/>
          <w:szCs w:val="32"/>
        </w:rPr>
        <w:t>对二甲苯期货合约限仓标准见下表：</w:t>
      </w:r>
    </w:p>
    <w:tbl>
      <w:tblPr>
        <w:tblStyle w:val="5"/>
        <w:tblW w:w="8505" w:type="dxa"/>
        <w:tblInd w:w="108" w:type="dxa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10"/>
        <w:gridCol w:w="479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交易时间段</w:t>
            </w:r>
          </w:p>
        </w:tc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非期货公司会员和客户的最大单边持仓量（手）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1" w:hRule="atLeast"/>
        </w:trPr>
        <w:tc>
          <w:tcPr>
            <w:tcW w:w="37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自合约挂牌至交割月前二个月最后一个日历日期间的交易日</w:t>
            </w:r>
          </w:p>
        </w:tc>
        <w:tc>
          <w:tcPr>
            <w:tcW w:w="47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5000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  <w:t>6000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2" w:hRule="atLeast"/>
        </w:trPr>
        <w:tc>
          <w:tcPr>
            <w:tcW w:w="37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自交割月前一个月第一个日历日至交割月前一个月第15个日历日期间的交易日</w:t>
            </w:r>
          </w:p>
        </w:tc>
        <w:tc>
          <w:tcPr>
            <w:tcW w:w="47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3000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  <w:t>4000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2" w:hRule="atLeast"/>
        </w:trPr>
        <w:tc>
          <w:tcPr>
            <w:tcW w:w="37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自交割月前一个月第16个日历日至交割月前一个月最后一个日历日期间的交易日</w:t>
            </w:r>
          </w:p>
        </w:tc>
        <w:tc>
          <w:tcPr>
            <w:tcW w:w="47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2000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  <w:t>3000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交割月份</w:t>
            </w:r>
          </w:p>
        </w:tc>
        <w:tc>
          <w:tcPr>
            <w:tcW w:w="479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strike/>
                <w:sz w:val="28"/>
                <w:szCs w:val="30"/>
              </w:rPr>
              <w:t>1000</w:t>
            </w:r>
            <w:r>
              <w:rPr>
                <w:rFonts w:hint="default" w:ascii="Times New Roman" w:hAnsi="Times New Roman" w:eastAsia="仿宋" w:cs="Times New Roman"/>
                <w:b/>
                <w:sz w:val="28"/>
                <w:szCs w:val="30"/>
                <w:u w:val="single"/>
              </w:rPr>
              <w:t>2000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30"/>
              </w:rPr>
              <w:t>（自然人客户最大单边持仓量为0）</w:t>
            </w:r>
          </w:p>
        </w:tc>
      </w:tr>
    </w:tbl>
    <w:p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……</w:t>
      </w:r>
    </w:p>
    <w:p>
      <w:pPr>
        <w:rPr>
          <w:rFonts w:ascii="仿宋" w:hAnsi="仿宋" w:eastAsia="仿宋"/>
          <w:sz w:val="32"/>
        </w:rPr>
      </w:pPr>
      <w:bookmarkStart w:id="0" w:name="_GoBack"/>
      <w:bookmarkEnd w:id="0"/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797" w:bottom="1440" w:left="179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sz w:val="2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wordWrap w:val="0"/>
                  <w:jc w:val="right"/>
                </w:pPr>
                <w:r>
                  <w:rPr>
                    <w:rFonts w:hint="eastAsia"/>
                    <w:sz w:val="28"/>
                  </w:rPr>
                  <w:t>—</w:t>
                </w:r>
                <w:r>
                  <w:rPr>
                    <w:rStyle w:val="8"/>
                    <w:sz w:val="28"/>
                  </w:rPr>
                  <w:fldChar w:fldCharType="begin"/>
                </w:r>
                <w:r>
                  <w:rPr>
                    <w:rStyle w:val="8"/>
                    <w:sz w:val="28"/>
                  </w:rPr>
                  <w:instrText xml:space="preserve"> PAGE </w:instrText>
                </w:r>
                <w:r>
                  <w:rPr>
                    <w:rStyle w:val="8"/>
                    <w:sz w:val="28"/>
                  </w:rPr>
                  <w:fldChar w:fldCharType="separate"/>
                </w:r>
                <w:r>
                  <w:rPr>
                    <w:rStyle w:val="8"/>
                    <w:sz w:val="28"/>
                  </w:rPr>
                  <w:t>1</w:t>
                </w:r>
                <w:r>
                  <w:rPr>
                    <w:rStyle w:val="8"/>
                    <w:sz w:val="28"/>
                  </w:rPr>
                  <w:fldChar w:fldCharType="end"/>
                </w:r>
                <w:r>
                  <w:rPr>
                    <w:rFonts w:hint="eastAsia"/>
                    <w:sz w:val="28"/>
                  </w:rPr>
                  <w:t>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  <w:r>
      <w:rPr>
        <w:rFonts w:hint="eastAsia"/>
        <w:sz w:val="28"/>
      </w:rPr>
      <w:t>—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 PAGE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4</w:t>
    </w:r>
    <w:r>
      <w:rPr>
        <w:rStyle w:val="8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0D951FEB"/>
    <w:rsid w:val="167396B7"/>
    <w:rsid w:val="17AD7A67"/>
    <w:rsid w:val="1D9EC0E4"/>
    <w:rsid w:val="3998203D"/>
    <w:rsid w:val="3ADF0F94"/>
    <w:rsid w:val="3FEAA115"/>
    <w:rsid w:val="3FFDA71F"/>
    <w:rsid w:val="4D4B96AF"/>
    <w:rsid w:val="4EFFA964"/>
    <w:rsid w:val="55FDBEAF"/>
    <w:rsid w:val="57E57D60"/>
    <w:rsid w:val="5AD3D141"/>
    <w:rsid w:val="5BD34FF2"/>
    <w:rsid w:val="5C7BF285"/>
    <w:rsid w:val="5F6D5D4A"/>
    <w:rsid w:val="67CD5CF4"/>
    <w:rsid w:val="6E1B5024"/>
    <w:rsid w:val="78031D0F"/>
    <w:rsid w:val="79AD2A79"/>
    <w:rsid w:val="7B351E47"/>
    <w:rsid w:val="7D4FA5EE"/>
    <w:rsid w:val="7EFE287D"/>
    <w:rsid w:val="7F6304BB"/>
    <w:rsid w:val="A7DAA132"/>
    <w:rsid w:val="AFAFF778"/>
    <w:rsid w:val="BCFF3EB4"/>
    <w:rsid w:val="DBFD0DA2"/>
    <w:rsid w:val="DDBF5167"/>
    <w:rsid w:val="DDDFAD32"/>
    <w:rsid w:val="DFBF2860"/>
    <w:rsid w:val="F3FFC39C"/>
    <w:rsid w:val="F5FB6EC4"/>
    <w:rsid w:val="F7BB0F44"/>
    <w:rsid w:val="F9B61800"/>
    <w:rsid w:val="FBB6C4B4"/>
    <w:rsid w:val="FBDF6598"/>
    <w:rsid w:val="FDFF9E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1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table" w:customStyle="1" w:styleId="13">
    <w:name w:val="网格型1"/>
    <w:basedOn w:val="5"/>
    <w:qFormat/>
    <w:uiPriority w:val="59"/>
    <w:pPr>
      <w:jc w:val="both"/>
    </w:pPr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1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2019-09-20T06:10:00Z</dcterms:created>
  <dc:creator>CN=李小鹏/OU=办公室/O=CZCE</dc:creator>
  <cp:lastModifiedBy>张雅杰</cp:lastModifiedBy>
  <dcterms:modified xsi:type="dcterms:W3CDTF">2024-11-04T15:33:19Z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1A74164DAFE84797BDB2CC6CAEE4BCD0</vt:lpwstr>
  </property>
</Properties>
</file>