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20"/>
        </w:tabs>
        <w:autoSpaceDE w:val="0"/>
        <w:autoSpaceDN w:val="0"/>
        <w:spacing w:line="360" w:lineRule="auto"/>
        <w:rPr>
          <w:rFonts w:hint="eastAsia" w:ascii="黑体" w:hAnsi="黑体" w:eastAsia="黑体" w:cs="黑体"/>
          <w:sz w:val="32"/>
          <w:szCs w:val="32"/>
          <w:lang w:val="en-US" w:eastAsia="zh-CN"/>
        </w:rPr>
      </w:pPr>
      <w:bookmarkStart w:id="10" w:name="_GoBack"/>
      <w:bookmarkEnd w:id="10"/>
      <w:r>
        <w:rPr>
          <w:rFonts w:hint="eastAsia" w:ascii="黑体" w:hAnsi="黑体" w:eastAsia="黑体" w:cs="黑体"/>
          <w:sz w:val="32"/>
          <w:szCs w:val="32"/>
        </w:rPr>
        <w:t>附件</w:t>
      </w:r>
      <w:r>
        <w:rPr>
          <w:rFonts w:hint="eastAsia" w:ascii="黑体" w:hAnsi="黑体" w:eastAsia="黑体" w:cs="黑体"/>
          <w:sz w:val="32"/>
          <w:szCs w:val="32"/>
          <w:lang w:val="en-US" w:eastAsia="zh-CN"/>
        </w:rPr>
        <w:t>8</w:t>
      </w:r>
    </w:p>
    <w:p>
      <w:pPr>
        <w:spacing w:afterLines="50"/>
        <w:jc w:val="center"/>
        <w:outlineLvl w:val="0"/>
        <w:rPr>
          <w:rFonts w:ascii="宋体" w:hAnsi="宋体"/>
          <w:b/>
          <w:sz w:val="44"/>
          <w:szCs w:val="22"/>
          <w:highlight w:val="none"/>
        </w:rPr>
      </w:pPr>
      <w:r>
        <w:rPr>
          <w:rFonts w:ascii="宋体" w:hAnsi="宋体"/>
          <w:b/>
          <w:sz w:val="44"/>
          <w:szCs w:val="22"/>
          <w:highlight w:val="none"/>
        </w:rPr>
        <w:t>郑州商品交易所烧碱期货业务细则</w:t>
      </w:r>
    </w:p>
    <w:p>
      <w:pPr>
        <w:spacing w:line="360" w:lineRule="auto"/>
        <w:ind w:firstLine="480" w:firstLineChars="200"/>
        <w:outlineLvl w:val="0"/>
        <w:rPr>
          <w:rFonts w:hint="eastAsia" w:ascii="宋体" w:hAnsi="宋体" w:cs="宋体"/>
          <w:b w:val="0"/>
          <w:bCs w:val="0"/>
          <w:color w:val="auto"/>
          <w:kern w:val="0"/>
          <w:sz w:val="24"/>
          <w:highlight w:val="none"/>
          <w:shd w:val="clear" w:color="auto" w:fill="FFFFFF"/>
          <w:lang w:eastAsia="zh-CN"/>
        </w:rPr>
      </w:pPr>
      <w:bookmarkStart w:id="0" w:name="_Toc1637342033"/>
      <w:r>
        <w:rPr>
          <w:rFonts w:hint="eastAsia" w:ascii="宋体" w:hAnsi="宋体" w:cs="宋体"/>
          <w:b w:val="0"/>
          <w:bCs w:val="0"/>
          <w:color w:val="auto"/>
          <w:kern w:val="0"/>
          <w:sz w:val="24"/>
          <w:highlight w:val="none"/>
          <w:shd w:val="clear" w:color="auto" w:fill="FFFFFF"/>
          <w:lang w:eastAsia="zh-CN"/>
        </w:rPr>
        <w:t>（2024年1月4日郑州商品交易所第八届理事会</w:t>
      </w:r>
      <w:r>
        <w:rPr>
          <w:rFonts w:hint="eastAsia" w:ascii="宋体" w:hAnsi="宋体" w:cs="宋体"/>
          <w:b w:val="0"/>
          <w:bCs w:val="0"/>
          <w:color w:val="auto"/>
          <w:kern w:val="0"/>
          <w:sz w:val="24"/>
          <w:highlight w:val="none"/>
          <w:shd w:val="clear" w:color="auto" w:fill="FFFFFF"/>
          <w:lang w:val="en-US" w:eastAsia="zh-CN"/>
        </w:rPr>
        <w:t>第十次会议审议通过，2024年2月6日〔2024〕16号公告发布，</w:t>
      </w:r>
      <w:r>
        <w:rPr>
          <w:rFonts w:hint="eastAsia" w:ascii="宋体" w:hAnsi="宋体" w:cs="宋体"/>
          <w:b w:val="0"/>
          <w:bCs w:val="0"/>
          <w:color w:val="auto"/>
          <w:kern w:val="0"/>
          <w:sz w:val="24"/>
          <w:highlight w:val="none"/>
          <w:shd w:val="clear" w:color="auto" w:fill="FFFFFF"/>
          <w:lang w:eastAsia="zh-CN"/>
        </w:rPr>
        <w:t>自2024年2月6日起施行；</w:t>
      </w:r>
      <w:r>
        <w:rPr>
          <w:rFonts w:hint="default" w:ascii="宋体" w:hAnsi="宋体" w:cs="宋体"/>
          <w:b w:val="0"/>
          <w:bCs w:val="0"/>
          <w:color w:val="auto"/>
          <w:kern w:val="0"/>
          <w:sz w:val="24"/>
          <w:highlight w:val="none"/>
          <w:shd w:val="clear" w:color="auto" w:fill="FFFFFF"/>
          <w:lang w:val="en-US" w:eastAsia="zh-CN"/>
        </w:rPr>
        <w:t>2024年10月8日郑州商品交易所第八届理事会第十八次会议审议通过，</w:t>
      </w:r>
      <w:r>
        <w:rPr>
          <w:rFonts w:hint="eastAsia" w:ascii="宋体" w:hAnsi="宋体" w:cs="宋体"/>
          <w:b w:val="0"/>
          <w:bCs w:val="0"/>
          <w:color w:val="auto"/>
          <w:kern w:val="0"/>
          <w:sz w:val="24"/>
          <w:highlight w:val="none"/>
          <w:shd w:val="clear" w:color="auto" w:fill="FFFFFF"/>
          <w:lang w:val="en-US" w:eastAsia="zh-CN"/>
        </w:rPr>
        <w:t>2024年11月4日〔2024〕147号公告发布，</w:t>
      </w:r>
      <w:r>
        <w:rPr>
          <w:rFonts w:hint="default" w:ascii="宋体" w:hAnsi="宋体" w:cs="宋体"/>
          <w:b w:val="0"/>
          <w:bCs w:val="0"/>
          <w:color w:val="auto"/>
          <w:kern w:val="0"/>
          <w:sz w:val="24"/>
          <w:highlight w:val="none"/>
          <w:shd w:val="clear" w:color="auto" w:fill="FFFFFF"/>
        </w:rPr>
        <w:t>自</w:t>
      </w:r>
      <w:r>
        <w:rPr>
          <w:rFonts w:hint="eastAsia" w:ascii="宋体" w:hAnsi="宋体" w:cs="宋体"/>
          <w:b w:val="0"/>
          <w:bCs w:val="0"/>
          <w:color w:val="auto"/>
          <w:kern w:val="0"/>
          <w:sz w:val="24"/>
          <w:highlight w:val="none"/>
          <w:shd w:val="clear" w:color="auto" w:fill="FFFFFF"/>
          <w:lang w:val="en-US" w:eastAsia="zh-CN"/>
        </w:rPr>
        <w:t>2024年11月7日</w:t>
      </w:r>
      <w:r>
        <w:rPr>
          <w:rFonts w:hint="default" w:ascii="宋体" w:hAnsi="宋体" w:cs="宋体"/>
          <w:b w:val="0"/>
          <w:bCs w:val="0"/>
          <w:color w:val="auto"/>
          <w:kern w:val="0"/>
          <w:sz w:val="24"/>
          <w:highlight w:val="none"/>
          <w:shd w:val="clear" w:color="auto" w:fill="FFFFFF"/>
          <w:lang w:val="en-US" w:eastAsia="zh-CN"/>
        </w:rPr>
        <w:t>起施行</w:t>
      </w:r>
      <w:r>
        <w:rPr>
          <w:rFonts w:hint="eastAsia" w:ascii="宋体" w:hAnsi="宋体" w:cs="宋体"/>
          <w:b w:val="0"/>
          <w:bCs w:val="0"/>
          <w:color w:val="auto"/>
          <w:kern w:val="0"/>
          <w:sz w:val="24"/>
          <w:highlight w:val="none"/>
          <w:shd w:val="clear" w:color="auto" w:fill="FFFFFF"/>
          <w:lang w:eastAsia="zh-CN"/>
        </w:rPr>
        <w:t>）</w:t>
      </w:r>
      <w:bookmarkEnd w:id="0"/>
    </w:p>
    <w:p>
      <w:pPr>
        <w:tabs>
          <w:tab w:val="left" w:pos="1620"/>
        </w:tabs>
        <w:suppressAutoHyphens/>
        <w:autoSpaceDE w:val="0"/>
        <w:autoSpaceDN w:val="0"/>
        <w:snapToGrid w:val="0"/>
        <w:spacing w:line="360" w:lineRule="auto"/>
        <w:jc w:val="center"/>
        <w:outlineLvl w:val="0"/>
        <w:rPr>
          <w:rFonts w:ascii="黑体" w:hAnsi="黑体" w:eastAsia="黑体"/>
          <w:color w:val="000000"/>
          <w:sz w:val="30"/>
          <w:szCs w:val="30"/>
          <w:highlight w:val="none"/>
        </w:rPr>
      </w:pPr>
      <w:bookmarkStart w:id="1" w:name="_Toc1619679959"/>
      <w:r>
        <w:rPr>
          <w:rFonts w:hint="eastAsia" w:ascii="黑体" w:hAnsi="黑体" w:eastAsia="黑体" w:cs="宋体"/>
          <w:color w:val="000000"/>
          <w:kern w:val="0"/>
          <w:sz w:val="30"/>
          <w:szCs w:val="30"/>
          <w:highlight w:val="none"/>
        </w:rPr>
        <w:t>第一章 总 则</w:t>
      </w:r>
      <w:bookmarkEnd w:id="1"/>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为了规范郑州商品交易所（以下简称交易所）烧碱期货相关业务，根据《郑州商品交易所交易规则》及烧碱期货合约，制定本细则。</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交易所、会员、客户、交割仓库（以下简称仓库）、交割厂库（以下简称厂库）、指定质检机构及期货市场其他参与者应当遵守本细则。</w:t>
      </w:r>
    </w:p>
    <w:p>
      <w:pPr>
        <w:tabs>
          <w:tab w:val="left" w:pos="1620"/>
        </w:tabs>
        <w:suppressAutoHyphens/>
        <w:autoSpaceDE w:val="0"/>
        <w:autoSpaceDN w:val="0"/>
        <w:snapToGrid w:val="0"/>
        <w:spacing w:line="360" w:lineRule="auto"/>
        <w:jc w:val="center"/>
        <w:outlineLvl w:val="0"/>
        <w:rPr>
          <w:rFonts w:ascii="黑体" w:hAnsi="黑体" w:eastAsia="黑体" w:cs="宋体"/>
          <w:color w:val="000000"/>
          <w:kern w:val="0"/>
          <w:sz w:val="30"/>
          <w:szCs w:val="30"/>
          <w:highlight w:val="none"/>
        </w:rPr>
      </w:pPr>
      <w:bookmarkStart w:id="2" w:name="_Toc2142703714"/>
      <w:r>
        <w:rPr>
          <w:rFonts w:hint="eastAsia" w:ascii="黑体" w:hAnsi="黑体" w:eastAsia="黑体" w:cs="宋体"/>
          <w:color w:val="000000"/>
          <w:kern w:val="0"/>
          <w:sz w:val="30"/>
          <w:szCs w:val="30"/>
          <w:highlight w:val="none"/>
        </w:rPr>
        <w:t>第二章 交易业务</w:t>
      </w:r>
      <w:bookmarkEnd w:id="2"/>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烧碱期货合约交易</w:t>
      </w:r>
      <w:r>
        <w:rPr>
          <w:rFonts w:hint="eastAsia" w:ascii="宋体" w:hAnsi="宋体" w:eastAsia="宋体" w:cs="宋体"/>
          <w:color w:val="000000"/>
          <w:kern w:val="0"/>
          <w:sz w:val="28"/>
          <w:szCs w:val="28"/>
          <w:highlight w:val="none"/>
        </w:rPr>
        <w:t>单位为30吨/手（</w:t>
      </w:r>
      <w:r>
        <w:rPr>
          <w:rFonts w:hint="eastAsia" w:ascii="宋体" w:hAnsi="宋体" w:cs="宋体"/>
          <w:color w:val="000000"/>
          <w:kern w:val="0"/>
          <w:sz w:val="28"/>
          <w:szCs w:val="28"/>
          <w:highlight w:val="none"/>
        </w:rPr>
        <w:t>干吨重量）。</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烧碱期货合约报价单位为元（人民币）/吨。</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烧碱期货合约最小变动价位</w:t>
      </w:r>
      <w:r>
        <w:rPr>
          <w:rFonts w:hint="eastAsia" w:ascii="宋体" w:hAnsi="宋体" w:eastAsia="宋体" w:cs="宋体"/>
          <w:color w:val="000000"/>
          <w:kern w:val="0"/>
          <w:sz w:val="28"/>
          <w:szCs w:val="28"/>
          <w:highlight w:val="none"/>
        </w:rPr>
        <w:t>为1元/吨。</w:t>
      </w:r>
    </w:p>
    <w:p>
      <w:pPr>
        <w:tabs>
          <w:tab w:val="left" w:pos="1620"/>
        </w:tabs>
        <w:suppressAutoHyphens/>
        <w:autoSpaceDE w:val="0"/>
        <w:autoSpaceDN w:val="0"/>
        <w:snapToGrid w:val="0"/>
        <w:spacing w:line="360" w:lineRule="auto"/>
        <w:ind w:firstLine="560" w:firstLineChars="200"/>
        <w:rPr>
          <w:rFonts w:hint="eastAsia"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烧碱期货合约交割月</w:t>
      </w:r>
      <w:r>
        <w:rPr>
          <w:rFonts w:hint="eastAsia" w:ascii="宋体" w:hAnsi="宋体" w:eastAsia="宋体" w:cs="宋体"/>
          <w:color w:val="000000"/>
          <w:kern w:val="0"/>
          <w:sz w:val="28"/>
          <w:szCs w:val="28"/>
          <w:highlight w:val="none"/>
        </w:rPr>
        <w:t>份为1至12月。</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color w:val="000000"/>
          <w:kern w:val="0"/>
          <w:sz w:val="28"/>
          <w:szCs w:val="28"/>
          <w:highlight w:val="none"/>
        </w:rPr>
        <w:t>烧碱</w:t>
      </w:r>
      <w:r>
        <w:rPr>
          <w:rFonts w:ascii="宋体" w:hAnsi="宋体" w:cs="宋体"/>
          <w:color w:val="000000"/>
          <w:kern w:val="0"/>
          <w:sz w:val="28"/>
          <w:szCs w:val="28"/>
          <w:highlight w:val="none"/>
        </w:rPr>
        <w:t>期货</w:t>
      </w:r>
      <w:r>
        <w:rPr>
          <w:rFonts w:hint="eastAsia" w:ascii="宋体" w:hAnsi="宋体" w:cs="宋体"/>
          <w:color w:val="000000"/>
          <w:kern w:val="0"/>
          <w:sz w:val="28"/>
          <w:szCs w:val="28"/>
          <w:highlight w:val="none"/>
        </w:rPr>
        <w:t>合</w:t>
      </w:r>
      <w:r>
        <w:rPr>
          <w:rFonts w:hint="eastAsia" w:ascii="宋体" w:hAnsi="宋体" w:eastAsia="宋体" w:cs="宋体"/>
          <w:color w:val="000000"/>
          <w:kern w:val="0"/>
          <w:sz w:val="28"/>
          <w:szCs w:val="28"/>
          <w:highlight w:val="none"/>
        </w:rPr>
        <w:t>约交易指令</w:t>
      </w:r>
      <w:r>
        <w:rPr>
          <w:rFonts w:hint="eastAsia" w:ascii="宋体" w:hAnsi="宋体" w:eastAsia="宋体" w:cs="宋体"/>
          <w:sz w:val="28"/>
          <w:szCs w:val="28"/>
          <w:highlight w:val="none"/>
        </w:rPr>
        <w:t>每次最小下单量为1手，</w:t>
      </w:r>
      <w:r>
        <w:rPr>
          <w:rFonts w:hint="eastAsia" w:ascii="宋体" w:hAnsi="宋体" w:eastAsia="宋体" w:cs="宋体"/>
          <w:color w:val="000000"/>
          <w:kern w:val="0"/>
          <w:sz w:val="28"/>
          <w:szCs w:val="28"/>
          <w:highlight w:val="none"/>
        </w:rPr>
        <w:t>限价指令每次最大下单量为1000手，市价指令每次最大下单量为200</w:t>
      </w:r>
      <w:r>
        <w:rPr>
          <w:rFonts w:hint="eastAsia" w:ascii="宋体" w:hAnsi="宋体" w:cs="宋体"/>
          <w:color w:val="000000"/>
          <w:kern w:val="0"/>
          <w:sz w:val="28"/>
          <w:szCs w:val="28"/>
          <w:highlight w:val="none"/>
        </w:rPr>
        <w:t>手。</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宋体" w:hAnsi="宋体"/>
          <w:sz w:val="28"/>
          <w:szCs w:val="28"/>
          <w:highlight w:val="none"/>
        </w:rPr>
        <w:t>交易所可以根据市场情况，对烧碱期货合约交易指令每次最小下单量、每次最大下单量进行调整，具体标准由交易所另行公布。</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烧碱期货合约交易时间分为夜盘交易时间和日盘交易时间。夜盘交易时间为下21:00—23：00。日盘交易时间为上午9:00—11:30，下午13:30—15:00；其中，上午10:15—10:30为休息时间。</w:t>
      </w:r>
    </w:p>
    <w:p>
      <w:pPr>
        <w:tabs>
          <w:tab w:val="left" w:pos="1620"/>
        </w:tabs>
        <w:suppressAutoHyphens/>
        <w:autoSpaceDE w:val="0"/>
        <w:autoSpaceDN w:val="0"/>
        <w:snapToGrid w:val="0"/>
        <w:spacing w:line="360" w:lineRule="auto"/>
        <w:ind w:firstLine="560" w:firstLineChars="200"/>
        <w:rPr>
          <w:rFonts w:ascii="宋体" w:hAnsi="宋体" w:cs="宋体"/>
          <w:kern w:val="0"/>
          <w:sz w:val="28"/>
          <w:szCs w:val="28"/>
          <w:highlight w:val="none"/>
        </w:rPr>
      </w:pPr>
      <w:r>
        <w:rPr>
          <w:rFonts w:hint="eastAsia" w:ascii="宋体" w:hAnsi="宋体"/>
          <w:sz w:val="28"/>
          <w:szCs w:val="28"/>
          <w:highlight w:val="none"/>
        </w:rPr>
        <w:t>交易所暂停、取消烧碱期货夜盘交易或者对夜盘交易时间进行调整的，以交易所公告为准。</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color w:val="000000"/>
          <w:kern w:val="0"/>
          <w:sz w:val="28"/>
          <w:szCs w:val="28"/>
          <w:highlight w:val="none"/>
        </w:rPr>
        <w:t>烧碱期货合约最后交易日为合约交割月份</w:t>
      </w:r>
      <w:r>
        <w:rPr>
          <w:rFonts w:hint="eastAsia" w:ascii="宋体" w:hAnsi="宋体" w:eastAsia="宋体" w:cs="宋体"/>
          <w:color w:val="000000"/>
          <w:kern w:val="0"/>
          <w:sz w:val="28"/>
          <w:szCs w:val="28"/>
          <w:highlight w:val="none"/>
        </w:rPr>
        <w:t>的第10个交</w:t>
      </w:r>
      <w:r>
        <w:rPr>
          <w:rFonts w:hint="eastAsia" w:ascii="宋体" w:hAnsi="宋体" w:cs="宋体"/>
          <w:color w:val="000000"/>
          <w:kern w:val="0"/>
          <w:sz w:val="28"/>
          <w:szCs w:val="28"/>
          <w:highlight w:val="none"/>
        </w:rPr>
        <w:t>易日。</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烧碱期货合约交易代码</w:t>
      </w:r>
      <w:r>
        <w:rPr>
          <w:rFonts w:hint="eastAsia" w:ascii="宋体" w:hAnsi="宋体" w:eastAsia="宋体" w:cs="宋体"/>
          <w:color w:val="000000"/>
          <w:kern w:val="0"/>
          <w:sz w:val="28"/>
          <w:szCs w:val="28"/>
          <w:highlight w:val="none"/>
        </w:rPr>
        <w:t>为SH。</w:t>
      </w:r>
    </w:p>
    <w:p>
      <w:pPr>
        <w:tabs>
          <w:tab w:val="left" w:pos="1620"/>
        </w:tabs>
        <w:suppressAutoHyphens/>
        <w:autoSpaceDE w:val="0"/>
        <w:autoSpaceDN w:val="0"/>
        <w:snapToGrid w:val="0"/>
        <w:spacing w:line="360" w:lineRule="auto"/>
        <w:jc w:val="center"/>
        <w:outlineLvl w:val="0"/>
        <w:rPr>
          <w:rFonts w:ascii="黑体" w:hAnsi="黑体" w:eastAsia="黑体" w:cs="宋体"/>
          <w:color w:val="000000"/>
          <w:kern w:val="0"/>
          <w:sz w:val="30"/>
          <w:szCs w:val="30"/>
          <w:highlight w:val="none"/>
        </w:rPr>
      </w:pPr>
      <w:bookmarkStart w:id="3" w:name="_Toc742544040"/>
      <w:r>
        <w:rPr>
          <w:rFonts w:hint="eastAsia" w:ascii="黑体" w:hAnsi="黑体" w:eastAsia="黑体" w:cs="宋体"/>
          <w:color w:val="000000"/>
          <w:kern w:val="0"/>
          <w:sz w:val="30"/>
          <w:szCs w:val="30"/>
          <w:highlight w:val="none"/>
        </w:rPr>
        <w:t>第三章 交割业务</w:t>
      </w:r>
      <w:bookmarkEnd w:id="3"/>
    </w:p>
    <w:p>
      <w:pPr>
        <w:tabs>
          <w:tab w:val="left" w:pos="1620"/>
        </w:tabs>
        <w:suppressAutoHyphens/>
        <w:autoSpaceDE w:val="0"/>
        <w:autoSpaceDN w:val="0"/>
        <w:snapToGrid w:val="0"/>
        <w:spacing w:line="360" w:lineRule="auto"/>
        <w:jc w:val="center"/>
        <w:outlineLvl w:val="1"/>
        <w:rPr>
          <w:rFonts w:ascii="宋体" w:hAnsi="宋体" w:cs="宋体"/>
          <w:b/>
          <w:color w:val="000000"/>
          <w:kern w:val="0"/>
          <w:sz w:val="28"/>
          <w:szCs w:val="28"/>
          <w:highlight w:val="none"/>
        </w:rPr>
      </w:pPr>
      <w:bookmarkStart w:id="4" w:name="_Toc1766271591"/>
      <w:r>
        <w:rPr>
          <w:rFonts w:hint="eastAsia" w:ascii="宋体" w:hAnsi="宋体" w:cs="宋体"/>
          <w:b/>
          <w:color w:val="000000"/>
          <w:kern w:val="0"/>
          <w:sz w:val="28"/>
          <w:szCs w:val="28"/>
          <w:highlight w:val="none"/>
        </w:rPr>
        <w:t>第一节 一般规定</w:t>
      </w:r>
      <w:bookmarkEnd w:id="4"/>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烧碱期货适用期货转现货、仓库标准仓单交割和厂库标准仓单交割。</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烧碱期货滚动交割的配对方式为响应配对和组织配对。</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suppressAutoHyphens/>
        <w:autoSpaceDE w:val="0"/>
        <w:autoSpaceDN w:val="0"/>
        <w:snapToGrid w:val="0"/>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烧碱期货的交割单位</w:t>
      </w:r>
      <w:r>
        <w:rPr>
          <w:rFonts w:hint="eastAsia" w:ascii="宋体" w:hAnsi="宋体" w:eastAsia="宋体" w:cs="宋体"/>
          <w:color w:val="000000"/>
          <w:kern w:val="0"/>
          <w:sz w:val="28"/>
          <w:szCs w:val="28"/>
          <w:highlight w:val="none"/>
        </w:rPr>
        <w:t>为</w:t>
      </w:r>
      <w:r>
        <w:rPr>
          <w:rFonts w:hint="eastAsia" w:ascii="宋体" w:hAnsi="宋体" w:eastAsia="宋体" w:cs="宋体"/>
          <w:kern w:val="0"/>
          <w:sz w:val="28"/>
          <w:szCs w:val="28"/>
          <w:highlight w:val="none"/>
        </w:rPr>
        <w:t>30吨（干吨</w:t>
      </w:r>
      <w:r>
        <w:rPr>
          <w:rFonts w:hint="eastAsia" w:ascii="宋体" w:hAnsi="宋体" w:cs="宋体"/>
          <w:kern w:val="0"/>
          <w:sz w:val="28"/>
          <w:szCs w:val="28"/>
          <w:highlight w:val="none"/>
        </w:rPr>
        <w:t>重量）。</w:t>
      </w:r>
    </w:p>
    <w:p>
      <w:pPr>
        <w:tabs>
          <w:tab w:val="left" w:pos="1620"/>
        </w:tabs>
        <w:suppressAutoHyphens/>
        <w:autoSpaceDE w:val="0"/>
        <w:autoSpaceDN w:val="0"/>
        <w:snapToGrid w:val="0"/>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烧碱期货合约的最后交割日为合约交</w:t>
      </w:r>
      <w:r>
        <w:rPr>
          <w:rFonts w:hint="eastAsia" w:ascii="宋体" w:hAnsi="宋体" w:eastAsia="宋体" w:cs="宋体"/>
          <w:color w:val="000000"/>
          <w:kern w:val="0"/>
          <w:sz w:val="28"/>
          <w:szCs w:val="28"/>
          <w:highlight w:val="none"/>
        </w:rPr>
        <w:t>割月份的第13个交易日。</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烧碱期货标准仓单可以分为仓库标准仓单和厂库标准仓单。</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烧碱期货标准仓单为非通用标准仓单。</w:t>
      </w:r>
    </w:p>
    <w:p>
      <w:pPr>
        <w:tabs>
          <w:tab w:val="left" w:pos="1620"/>
        </w:tabs>
        <w:suppressAutoHyphens/>
        <w:autoSpaceDE w:val="0"/>
        <w:autoSpaceDN w:val="0"/>
        <w:snapToGrid w:val="0"/>
        <w:spacing w:line="360" w:lineRule="auto"/>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sz w:val="28"/>
          <w:szCs w:val="28"/>
          <w:highlight w:val="none"/>
        </w:rPr>
        <w:t>每</w:t>
      </w:r>
      <w:r>
        <w:rPr>
          <w:rFonts w:hint="eastAsia" w:ascii="宋体" w:hAnsi="宋体" w:eastAsia="宋体" w:cs="宋体"/>
          <w:sz w:val="28"/>
          <w:szCs w:val="28"/>
          <w:highlight w:val="none"/>
        </w:rPr>
        <w:t>年1月、3月、5月、7月、9月、11月第15个交易日之前（含该日）注册的烧碱标准仓单，应当在当年1月、3月、5月、7月、9月、11月的第15个交易日之前</w:t>
      </w:r>
      <w:r>
        <w:rPr>
          <w:rFonts w:hint="eastAsia"/>
          <w:sz w:val="28"/>
          <w:szCs w:val="28"/>
          <w:highlight w:val="none"/>
        </w:rPr>
        <w:t>（含该日）全部注销。</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cs="宋体"/>
          <w:color w:val="000000"/>
          <w:kern w:val="0"/>
          <w:sz w:val="28"/>
          <w:szCs w:val="28"/>
          <w:highlight w:val="none"/>
        </w:rPr>
        <w:t>烧碱期货交割开具增值税专用发票。</w:t>
      </w:r>
    </w:p>
    <w:p>
      <w:pPr>
        <w:tabs>
          <w:tab w:val="left" w:pos="1620"/>
        </w:tabs>
        <w:suppressAutoHyphens/>
        <w:autoSpaceDE w:val="0"/>
        <w:autoSpaceDN w:val="0"/>
        <w:snapToGrid w:val="0"/>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cs="宋体"/>
          <w:kern w:val="0"/>
          <w:sz w:val="28"/>
          <w:szCs w:val="28"/>
          <w:highlight w:val="none"/>
        </w:rPr>
        <w:t>烧碱</w:t>
      </w:r>
      <w:r>
        <w:rPr>
          <w:rFonts w:ascii="宋体" w:hAnsi="宋体" w:cs="宋体"/>
          <w:kern w:val="0"/>
          <w:sz w:val="28"/>
          <w:szCs w:val="28"/>
          <w:highlight w:val="none"/>
        </w:rPr>
        <w:t>期货仓库</w:t>
      </w:r>
      <w:r>
        <w:rPr>
          <w:rFonts w:hint="eastAsia" w:ascii="宋体" w:hAnsi="宋体" w:cs="宋体"/>
          <w:kern w:val="0"/>
          <w:sz w:val="28"/>
          <w:szCs w:val="28"/>
          <w:highlight w:val="none"/>
        </w:rPr>
        <w:t>、</w:t>
      </w:r>
      <w:r>
        <w:rPr>
          <w:rFonts w:ascii="宋体" w:hAnsi="宋体" w:cs="宋体"/>
          <w:kern w:val="0"/>
          <w:sz w:val="28"/>
          <w:szCs w:val="28"/>
          <w:highlight w:val="none"/>
        </w:rPr>
        <w:t>厂库及</w:t>
      </w:r>
      <w:r>
        <w:rPr>
          <w:rFonts w:hint="eastAsia" w:ascii="宋体" w:hAnsi="宋体" w:cs="宋体"/>
          <w:kern w:val="0"/>
          <w:sz w:val="28"/>
          <w:szCs w:val="28"/>
          <w:highlight w:val="none"/>
        </w:rPr>
        <w:t>相关</w:t>
      </w:r>
      <w:r>
        <w:rPr>
          <w:rFonts w:ascii="宋体" w:hAnsi="宋体" w:cs="宋体"/>
          <w:kern w:val="0"/>
          <w:sz w:val="28"/>
          <w:szCs w:val="28"/>
          <w:highlight w:val="none"/>
        </w:rPr>
        <w:t>升贴水由交易所确定并公布</w:t>
      </w:r>
      <w:r>
        <w:rPr>
          <w:rFonts w:hint="eastAsia" w:ascii="宋体" w:hAnsi="宋体" w:cs="宋体"/>
          <w:kern w:val="0"/>
          <w:sz w:val="28"/>
          <w:szCs w:val="28"/>
          <w:highlight w:val="none"/>
        </w:rPr>
        <w:t>，交易所可以视情况对烧碱仓库、厂库及相关升贴水进行调整。</w:t>
      </w:r>
    </w:p>
    <w:p>
      <w:pPr>
        <w:tabs>
          <w:tab w:val="left" w:pos="1620"/>
        </w:tabs>
        <w:suppressAutoHyphens/>
        <w:autoSpaceDE w:val="0"/>
        <w:autoSpaceDN w:val="0"/>
        <w:snapToGrid w:val="0"/>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cs="宋体"/>
          <w:kern w:val="0"/>
          <w:sz w:val="28"/>
          <w:szCs w:val="28"/>
          <w:highlight w:val="none"/>
        </w:rPr>
        <w:t>烧碱期货的</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基准价为基准</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品在基准</w:t>
      </w:r>
      <w:r>
        <w:rPr>
          <w:rFonts w:hint="eastAsia" w:ascii="宋体" w:hAnsi="宋体" w:cs="宋体"/>
          <w:color w:val="000000"/>
          <w:kern w:val="0"/>
          <w:sz w:val="28"/>
          <w:szCs w:val="28"/>
          <w:highlight w:val="none"/>
        </w:rPr>
        <w:t>交割</w:t>
      </w:r>
      <w:r>
        <w:rPr>
          <w:rFonts w:ascii="宋体" w:hAnsi="宋体" w:cs="宋体"/>
          <w:kern w:val="0"/>
          <w:sz w:val="28"/>
          <w:szCs w:val="28"/>
          <w:highlight w:val="none"/>
        </w:rPr>
        <w:t>地</w:t>
      </w:r>
      <w:r>
        <w:rPr>
          <w:rFonts w:hint="eastAsia" w:ascii="宋体" w:hAnsi="宋体" w:cs="宋体"/>
          <w:kern w:val="0"/>
          <w:sz w:val="28"/>
          <w:szCs w:val="28"/>
          <w:highlight w:val="none"/>
        </w:rPr>
        <w:t>出库时的汽车板交货的含税价格</w:t>
      </w:r>
      <w:r>
        <w:rPr>
          <w:rFonts w:hint="eastAsia" w:ascii="宋体" w:hAnsi="宋体" w:cs="宋体"/>
          <w:color w:val="000000"/>
          <w:kern w:val="0"/>
          <w:sz w:val="28"/>
          <w:szCs w:val="28"/>
          <w:highlight w:val="none"/>
        </w:rPr>
        <w:t>。</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cs="宋体"/>
          <w:color w:val="000000"/>
          <w:kern w:val="0"/>
          <w:sz w:val="28"/>
          <w:szCs w:val="28"/>
          <w:highlight w:val="none"/>
        </w:rPr>
        <w:t>烧碱运达仓库指定货位前的一切费用和货物装到汽车板的出库费用由标准仓单注册人承担，货物出库装到汽车板后的一切费用由提货人承担。</w:t>
      </w:r>
    </w:p>
    <w:p>
      <w:pPr>
        <w:tabs>
          <w:tab w:val="left" w:pos="1620"/>
        </w:tabs>
        <w:suppressAutoHyphens/>
        <w:autoSpaceDE w:val="0"/>
        <w:autoSpaceDN w:val="0"/>
        <w:snapToGrid w:val="0"/>
        <w:spacing w:line="360" w:lineRule="auto"/>
        <w:ind w:firstLine="560" w:firstLineChars="200"/>
        <w:rPr>
          <w:rFonts w:ascii="宋体" w:hAnsi="宋体"/>
          <w:sz w:val="28"/>
          <w:szCs w:val="28"/>
          <w:highlight w:val="none"/>
        </w:rPr>
      </w:pPr>
      <w:r>
        <w:rPr>
          <w:rFonts w:hint="eastAsia" w:ascii="宋体" w:hAnsi="宋体"/>
          <w:sz w:val="28"/>
          <w:szCs w:val="28"/>
          <w:highlight w:val="none"/>
        </w:rPr>
        <w:t>烧碱期货</w:t>
      </w:r>
      <w:r>
        <w:rPr>
          <w:rFonts w:hint="eastAsia" w:ascii="宋体" w:hAnsi="宋体" w:cs="宋体"/>
          <w:color w:val="000000"/>
          <w:kern w:val="0"/>
          <w:sz w:val="28"/>
          <w:szCs w:val="28"/>
          <w:highlight w:val="none"/>
        </w:rPr>
        <w:t>交割</w:t>
      </w:r>
      <w:r>
        <w:rPr>
          <w:rFonts w:hint="eastAsia" w:ascii="宋体" w:hAnsi="宋体"/>
          <w:sz w:val="28"/>
          <w:szCs w:val="28"/>
          <w:highlight w:val="none"/>
        </w:rPr>
        <w:t>手续费、仓储费、出入库手续费、检验费等</w:t>
      </w:r>
      <w:r>
        <w:rPr>
          <w:rFonts w:hint="eastAsia" w:ascii="宋体" w:hAnsi="宋体" w:cs="宋体"/>
          <w:color w:val="000000"/>
          <w:kern w:val="0"/>
          <w:sz w:val="28"/>
          <w:szCs w:val="28"/>
          <w:highlight w:val="none"/>
        </w:rPr>
        <w:t>交割</w:t>
      </w:r>
      <w:r>
        <w:rPr>
          <w:rFonts w:hint="eastAsia" w:ascii="宋体" w:hAnsi="宋体"/>
          <w:sz w:val="28"/>
          <w:szCs w:val="28"/>
          <w:highlight w:val="none"/>
        </w:rPr>
        <w:t>相关费用标准由交易所另行公布。</w:t>
      </w:r>
    </w:p>
    <w:p>
      <w:pPr>
        <w:tabs>
          <w:tab w:val="left" w:pos="1620"/>
        </w:tabs>
        <w:suppressAutoHyphens/>
        <w:autoSpaceDE w:val="0"/>
        <w:autoSpaceDN w:val="0"/>
        <w:snapToGrid w:val="0"/>
        <w:spacing w:line="360" w:lineRule="auto"/>
        <w:ind w:firstLine="560" w:firstLineChars="200"/>
        <w:rPr>
          <w:rFonts w:ascii="宋体" w:hAnsi="宋体"/>
          <w:sz w:val="28"/>
          <w:szCs w:val="28"/>
          <w:highlight w:val="none"/>
        </w:rPr>
      </w:pPr>
      <w:r>
        <w:rPr>
          <w:rFonts w:hint="eastAsia" w:ascii="黑体" w:hAnsi="黑体" w:eastAsia="黑体" w:cs="宋体"/>
          <w:color w:val="000000"/>
          <w:kern w:val="0"/>
          <w:sz w:val="28"/>
          <w:szCs w:val="28"/>
          <w:highlight w:val="none"/>
        </w:rPr>
        <w:t>第二十</w:t>
      </w:r>
      <w:r>
        <w:rPr>
          <w:rFonts w:ascii="黑体" w:hAnsi="黑体" w:eastAsia="黑体" w:cs="宋体"/>
          <w:color w:val="000000"/>
          <w:kern w:val="0"/>
          <w:sz w:val="28"/>
          <w:szCs w:val="28"/>
          <w:highlight w:val="none"/>
        </w:rPr>
        <w:t>条</w:t>
      </w:r>
      <w:r>
        <w:rPr>
          <w:rFonts w:hint="default" w:ascii="黑体" w:hAnsi="黑体" w:eastAsia="黑体" w:cs="宋体"/>
          <w:color w:val="000000"/>
          <w:kern w:val="0"/>
          <w:sz w:val="28"/>
          <w:szCs w:val="28"/>
          <w:highlight w:val="none"/>
          <w:lang w:val="en-US"/>
        </w:rPr>
        <w:t xml:space="preserve"> </w:t>
      </w:r>
      <w:r>
        <w:rPr>
          <w:rFonts w:hint="eastAsia" w:ascii="宋体" w:hAnsi="宋体" w:cs="宋体"/>
          <w:kern w:val="0"/>
          <w:sz w:val="28"/>
          <w:szCs w:val="28"/>
          <w:highlight w:val="none"/>
        </w:rPr>
        <w:t>不</w:t>
      </w:r>
      <w:r>
        <w:rPr>
          <w:rFonts w:ascii="宋体" w:hAnsi="宋体" w:cs="宋体"/>
          <w:kern w:val="0"/>
          <w:sz w:val="28"/>
          <w:szCs w:val="28"/>
          <w:highlight w:val="none"/>
        </w:rPr>
        <w:t>具备</w:t>
      </w:r>
      <w:r>
        <w:rPr>
          <w:rFonts w:hint="eastAsia" w:ascii="宋体" w:hAnsi="宋体" w:cs="宋体"/>
          <w:kern w:val="0"/>
          <w:sz w:val="28"/>
          <w:szCs w:val="28"/>
          <w:highlight w:val="none"/>
        </w:rPr>
        <w:t>烧碱生产、储存、使用、经营或者运输资质的客户，不得参与烧碱期货</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w:t>
      </w:r>
    </w:p>
    <w:p>
      <w:pPr>
        <w:tabs>
          <w:tab w:val="left" w:pos="1620"/>
        </w:tabs>
        <w:suppressAutoHyphens/>
        <w:autoSpaceDE w:val="0"/>
        <w:autoSpaceDN w:val="0"/>
        <w:snapToGrid w:val="0"/>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cs="宋体"/>
          <w:kern w:val="0"/>
          <w:sz w:val="28"/>
          <w:szCs w:val="28"/>
          <w:highlight w:val="none"/>
        </w:rPr>
        <w:t>烧碱期货标准仓单生成、流通、注销等相关业务，本细则未规定的，适用《郑州商品交易所标准仓单管理办法》相关规定。</w:t>
      </w:r>
    </w:p>
    <w:p>
      <w:pPr>
        <w:tabs>
          <w:tab w:val="left" w:pos="1620"/>
        </w:tabs>
        <w:suppressAutoHyphens/>
        <w:autoSpaceDE w:val="0"/>
        <w:autoSpaceDN w:val="0"/>
        <w:snapToGrid w:val="0"/>
        <w:spacing w:line="360" w:lineRule="auto"/>
        <w:jc w:val="center"/>
        <w:outlineLvl w:val="1"/>
        <w:rPr>
          <w:rFonts w:hint="eastAsia" w:ascii="宋体" w:hAnsi="宋体" w:cs="宋体"/>
          <w:b/>
          <w:color w:val="000000"/>
          <w:kern w:val="0"/>
          <w:sz w:val="28"/>
          <w:szCs w:val="28"/>
          <w:highlight w:val="none"/>
        </w:rPr>
      </w:pPr>
      <w:bookmarkStart w:id="5" w:name="_Toc627152111"/>
      <w:r>
        <w:rPr>
          <w:rFonts w:hint="eastAsia" w:ascii="宋体" w:hAnsi="宋体" w:cs="宋体"/>
          <w:b/>
          <w:color w:val="000000"/>
          <w:kern w:val="0"/>
          <w:sz w:val="28"/>
          <w:szCs w:val="28"/>
          <w:highlight w:val="none"/>
        </w:rPr>
        <w:t xml:space="preserve">第二节 </w:t>
      </w:r>
      <w:r>
        <w:rPr>
          <w:rFonts w:hint="eastAsia" w:ascii="宋体" w:hAnsi="宋体" w:eastAsia="宋体" w:cs="宋体"/>
          <w:b/>
          <w:color w:val="000000"/>
          <w:kern w:val="0"/>
          <w:sz w:val="28"/>
          <w:szCs w:val="28"/>
          <w:highlight w:val="none"/>
        </w:rPr>
        <w:t>交割</w:t>
      </w:r>
      <w:r>
        <w:rPr>
          <w:rFonts w:hint="eastAsia" w:ascii="宋体" w:hAnsi="宋体" w:cs="宋体"/>
          <w:b/>
          <w:color w:val="000000"/>
          <w:kern w:val="0"/>
          <w:sz w:val="28"/>
          <w:szCs w:val="28"/>
          <w:highlight w:val="none"/>
        </w:rPr>
        <w:t>标准</w:t>
      </w:r>
      <w:bookmarkEnd w:id="5"/>
    </w:p>
    <w:p>
      <w:pPr>
        <w:widowControl/>
        <w:suppressAutoHyphens/>
        <w:spacing w:line="360" w:lineRule="auto"/>
        <w:ind w:firstLine="640"/>
        <w:jc w:val="left"/>
        <w:rPr>
          <w:rFonts w:ascii="黑体" w:hAnsi="黑体" w:eastAsia="黑体" w:cs="宋体"/>
          <w:color w:val="000000"/>
          <w:kern w:val="0"/>
          <w:sz w:val="28"/>
          <w:szCs w:val="28"/>
          <w:highlight w:val="none"/>
        </w:rPr>
      </w:pPr>
      <w:r>
        <w:rPr>
          <w:rFonts w:ascii="黑体" w:hAnsi="黑体" w:eastAsia="黑体" w:cs="宋体"/>
          <w:color w:val="000000"/>
          <w:kern w:val="0"/>
          <w:sz w:val="28"/>
          <w:szCs w:val="28"/>
          <w:highlight w:val="none"/>
        </w:rPr>
        <w:t>第二十二条</w:t>
      </w:r>
      <w:r>
        <w:rPr>
          <w:rFonts w:hint="default" w:ascii="黑体" w:hAnsi="黑体" w:eastAsia="黑体" w:cs="宋体"/>
          <w:color w:val="000000"/>
          <w:kern w:val="0"/>
          <w:sz w:val="28"/>
          <w:szCs w:val="28"/>
          <w:highlight w:val="none"/>
          <w:lang w:val="en-US"/>
        </w:rPr>
        <w:t xml:space="preserve"> </w:t>
      </w:r>
      <w:r>
        <w:rPr>
          <w:rFonts w:hint="eastAsia" w:ascii="宋体" w:hAnsi="宋体" w:cs="宋体"/>
          <w:color w:val="000000"/>
          <w:kern w:val="0"/>
          <w:sz w:val="28"/>
          <w:szCs w:val="28"/>
          <w:highlight w:val="none"/>
        </w:rPr>
        <w:t>烧碱期货交割适用国家标准及本细则规定。</w:t>
      </w:r>
    </w:p>
    <w:p>
      <w:pPr>
        <w:widowControl/>
        <w:suppressAutoHyphens/>
        <w:spacing w:line="360" w:lineRule="auto"/>
        <w:ind w:firstLine="640"/>
        <w:jc w:val="left"/>
        <w:rPr>
          <w:rFonts w:hint="eastAsia" w:ascii="宋体" w:hAnsi="宋体" w:eastAsia="宋体" w:cs="宋体"/>
          <w:sz w:val="28"/>
          <w:szCs w:val="28"/>
          <w:highlight w:val="none"/>
        </w:rPr>
      </w:pPr>
      <w:r>
        <w:rPr>
          <w:rFonts w:hint="eastAsia" w:ascii="黑体" w:hAnsi="黑体" w:eastAsia="黑体" w:cs="宋体"/>
          <w:color w:val="000000"/>
          <w:kern w:val="0"/>
          <w:sz w:val="28"/>
          <w:szCs w:val="28"/>
          <w:highlight w:val="none"/>
        </w:rPr>
        <w:t xml:space="preserve">第二十三条 </w:t>
      </w:r>
      <w:r>
        <w:rPr>
          <w:rFonts w:ascii="宋体" w:hAnsi="宋体" w:cs="宋体"/>
          <w:sz w:val="28"/>
          <w:szCs w:val="28"/>
          <w:highlight w:val="none"/>
        </w:rPr>
        <w:t>基准</w:t>
      </w:r>
      <w:r>
        <w:rPr>
          <w:rFonts w:hint="eastAsia" w:ascii="宋体" w:hAnsi="宋体" w:eastAsia="宋体" w:cs="宋体"/>
          <w:color w:val="000000"/>
          <w:kern w:val="0"/>
          <w:sz w:val="28"/>
          <w:szCs w:val="28"/>
          <w:highlight w:val="none"/>
        </w:rPr>
        <w:t>交割</w:t>
      </w:r>
      <w:r>
        <w:rPr>
          <w:rFonts w:hint="eastAsia" w:ascii="宋体" w:hAnsi="宋体" w:eastAsia="宋体" w:cs="宋体"/>
          <w:sz w:val="28"/>
          <w:szCs w:val="28"/>
          <w:highlight w:val="none"/>
        </w:rPr>
        <w:t>品：符合《中华人民共和国国家标准 工业用氢氧化钠》（GB/T209-2018）规定的IL-III型液碱，且氢氧化钠含量≥32%。</w:t>
      </w:r>
    </w:p>
    <w:p>
      <w:pPr>
        <w:widowControl/>
        <w:suppressAutoHyphens/>
        <w:spacing w:line="360" w:lineRule="auto"/>
        <w:ind w:firstLine="64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基准</w:t>
      </w:r>
      <w:r>
        <w:rPr>
          <w:rFonts w:hint="eastAsia" w:ascii="宋体" w:hAnsi="宋体" w:eastAsia="宋体" w:cs="宋体"/>
          <w:color w:val="000000"/>
          <w:kern w:val="0"/>
          <w:sz w:val="28"/>
          <w:szCs w:val="28"/>
          <w:highlight w:val="none"/>
        </w:rPr>
        <w:t>交割</w:t>
      </w:r>
      <w:r>
        <w:rPr>
          <w:rFonts w:hint="eastAsia" w:ascii="宋体" w:hAnsi="宋体" w:eastAsia="宋体" w:cs="宋体"/>
          <w:sz w:val="28"/>
          <w:szCs w:val="28"/>
          <w:highlight w:val="none"/>
        </w:rPr>
        <w:t>品的干吨重量=湿吨重量×0.32。</w:t>
      </w:r>
    </w:p>
    <w:p>
      <w:pPr>
        <w:widowControl/>
        <w:suppressAutoHyphens/>
        <w:spacing w:line="360" w:lineRule="auto"/>
        <w:ind w:firstLine="640"/>
        <w:jc w:val="left"/>
        <w:rPr>
          <w:rFonts w:hint="eastAsia" w:ascii="宋体" w:hAnsi="宋体" w:eastAsia="宋体" w:cs="宋体"/>
          <w:sz w:val="28"/>
          <w:szCs w:val="28"/>
          <w:highlight w:val="none"/>
        </w:rPr>
      </w:pPr>
      <w:r>
        <w:rPr>
          <w:rFonts w:hint="eastAsia" w:ascii="黑体" w:hAnsi="黑体" w:eastAsia="黑体" w:cs="宋体"/>
          <w:color w:val="000000"/>
          <w:kern w:val="0"/>
          <w:sz w:val="28"/>
          <w:szCs w:val="28"/>
          <w:highlight w:val="none"/>
        </w:rPr>
        <w:t>第二十</w:t>
      </w:r>
      <w:r>
        <w:rPr>
          <w:rFonts w:ascii="黑体" w:hAnsi="黑体" w:eastAsia="黑体" w:cs="宋体"/>
          <w:color w:val="000000"/>
          <w:kern w:val="0"/>
          <w:sz w:val="28"/>
          <w:szCs w:val="28"/>
          <w:highlight w:val="none"/>
        </w:rPr>
        <w:t>四</w:t>
      </w:r>
      <w:r>
        <w:rPr>
          <w:rFonts w:hint="eastAsia" w:ascii="黑体" w:hAnsi="黑体" w:eastAsia="黑体" w:cs="宋体"/>
          <w:color w:val="000000"/>
          <w:kern w:val="0"/>
          <w:sz w:val="28"/>
          <w:szCs w:val="28"/>
          <w:highlight w:val="none"/>
        </w:rPr>
        <w:t xml:space="preserve">条 </w:t>
      </w:r>
      <w:r>
        <w:rPr>
          <w:rFonts w:hint="eastAsia"/>
          <w:sz w:val="28"/>
          <w:szCs w:val="28"/>
          <w:highlight w:val="none"/>
        </w:rPr>
        <w:t>替代</w:t>
      </w:r>
      <w:r>
        <w:rPr>
          <w:rFonts w:hint="eastAsia" w:ascii="宋体" w:hAnsi="宋体" w:cs="宋体"/>
          <w:color w:val="000000"/>
          <w:kern w:val="0"/>
          <w:sz w:val="28"/>
          <w:szCs w:val="28"/>
          <w:highlight w:val="none"/>
        </w:rPr>
        <w:t>交割</w:t>
      </w:r>
      <w:r>
        <w:rPr>
          <w:rFonts w:hint="eastAsia"/>
          <w:sz w:val="28"/>
          <w:szCs w:val="28"/>
          <w:highlight w:val="none"/>
        </w:rPr>
        <w:t>品</w:t>
      </w:r>
      <w:r>
        <w:rPr>
          <w:rFonts w:hint="eastAsia" w:ascii="宋体" w:hAnsi="宋体" w:eastAsia="宋体" w:cs="宋体"/>
          <w:sz w:val="28"/>
          <w:szCs w:val="28"/>
          <w:highlight w:val="none"/>
        </w:rPr>
        <w:t>及升贴水：符合《中华人民共和国国家标准 工业用氢氧化钠》（GB/T209-2018）规定的IL-I型液碱，升贴水以交易所公告为准。</w:t>
      </w:r>
    </w:p>
    <w:p>
      <w:pPr>
        <w:widowControl/>
        <w:suppressAutoHyphens/>
        <w:spacing w:line="360" w:lineRule="auto"/>
        <w:ind w:firstLine="64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替代</w:t>
      </w:r>
      <w:r>
        <w:rPr>
          <w:rFonts w:hint="eastAsia" w:ascii="宋体" w:hAnsi="宋体" w:eastAsia="宋体" w:cs="宋体"/>
          <w:color w:val="000000"/>
          <w:kern w:val="0"/>
          <w:sz w:val="28"/>
          <w:szCs w:val="28"/>
          <w:highlight w:val="none"/>
        </w:rPr>
        <w:t>交割</w:t>
      </w:r>
      <w:r>
        <w:rPr>
          <w:rFonts w:hint="eastAsia" w:ascii="宋体" w:hAnsi="宋体" w:eastAsia="宋体" w:cs="宋体"/>
          <w:sz w:val="28"/>
          <w:szCs w:val="28"/>
          <w:highlight w:val="none"/>
        </w:rPr>
        <w:t>品的干吨重量=湿吨重量×0.5。</w:t>
      </w:r>
    </w:p>
    <w:p>
      <w:pPr>
        <w:tabs>
          <w:tab w:val="left" w:pos="1620"/>
        </w:tabs>
        <w:suppressAutoHyphens/>
        <w:autoSpaceDE w:val="0"/>
        <w:autoSpaceDN w:val="0"/>
        <w:snapToGrid w:val="0"/>
        <w:spacing w:line="360" w:lineRule="auto"/>
        <w:jc w:val="center"/>
        <w:outlineLvl w:val="1"/>
        <w:rPr>
          <w:rFonts w:hint="eastAsia" w:ascii="宋体" w:hAnsi="宋体" w:cs="宋体"/>
          <w:b/>
          <w:color w:val="000000"/>
          <w:kern w:val="0"/>
          <w:sz w:val="28"/>
          <w:szCs w:val="28"/>
          <w:highlight w:val="none"/>
        </w:rPr>
      </w:pPr>
      <w:bookmarkStart w:id="6" w:name="_Toc2139102238"/>
      <w:r>
        <w:rPr>
          <w:rFonts w:hint="eastAsia" w:ascii="宋体" w:hAnsi="宋体" w:cs="宋体"/>
          <w:b/>
          <w:color w:val="000000"/>
          <w:kern w:val="0"/>
          <w:sz w:val="28"/>
          <w:szCs w:val="28"/>
          <w:highlight w:val="none"/>
        </w:rPr>
        <w:t>第三节 仓库标准仓单</w:t>
      </w:r>
      <w:r>
        <w:rPr>
          <w:rFonts w:hint="eastAsia" w:ascii="宋体" w:hAnsi="宋体" w:eastAsia="宋体" w:cs="宋体"/>
          <w:b/>
          <w:color w:val="000000"/>
          <w:kern w:val="0"/>
          <w:sz w:val="28"/>
          <w:szCs w:val="28"/>
          <w:highlight w:val="none"/>
        </w:rPr>
        <w:t>交割</w:t>
      </w:r>
      <w:bookmarkEnd w:id="6"/>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cs="宋体"/>
          <w:kern w:val="0"/>
          <w:sz w:val="28"/>
          <w:szCs w:val="28"/>
          <w:highlight w:val="none"/>
        </w:rPr>
        <w:t>烧碱期货</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预报时，</w:t>
      </w:r>
      <w:r>
        <w:rPr>
          <w:rFonts w:hint="eastAsia" w:ascii="宋体" w:hAnsi="宋体" w:eastAsia="宋体" w:cs="宋体"/>
          <w:kern w:val="0"/>
          <w:sz w:val="28"/>
          <w:szCs w:val="28"/>
          <w:highlight w:val="none"/>
        </w:rPr>
        <w:t>应当按30元/</w:t>
      </w:r>
      <w:r>
        <w:rPr>
          <w:rFonts w:hint="eastAsia" w:ascii="宋体" w:hAnsi="宋体" w:cs="宋体"/>
          <w:kern w:val="0"/>
          <w:sz w:val="28"/>
          <w:szCs w:val="28"/>
          <w:highlight w:val="none"/>
        </w:rPr>
        <w:t>吨（湿吨重量）向仓库交纳</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预报定金。</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cs="宋体"/>
          <w:kern w:val="0"/>
          <w:sz w:val="28"/>
          <w:szCs w:val="28"/>
          <w:highlight w:val="none"/>
        </w:rPr>
        <w:t>烧碱仓库开具的《入库通知单》有效期</w:t>
      </w:r>
      <w:r>
        <w:rPr>
          <w:rFonts w:hint="eastAsia" w:ascii="宋体" w:hAnsi="宋体" w:eastAsia="宋体" w:cs="宋体"/>
          <w:kern w:val="0"/>
          <w:sz w:val="28"/>
          <w:szCs w:val="28"/>
          <w:highlight w:val="none"/>
        </w:rPr>
        <w:t>为15个日</w:t>
      </w:r>
      <w:r>
        <w:rPr>
          <w:rFonts w:hint="eastAsia" w:ascii="宋体" w:hAnsi="宋体" w:cs="宋体"/>
          <w:kern w:val="0"/>
          <w:sz w:val="28"/>
          <w:szCs w:val="28"/>
          <w:highlight w:val="none"/>
        </w:rPr>
        <w:t>历日。</w:t>
      </w:r>
    </w:p>
    <w:p>
      <w:pPr>
        <w:suppressAutoHyphens/>
        <w:spacing w:line="360" w:lineRule="auto"/>
        <w:ind w:firstLine="560" w:firstLineChars="200"/>
        <w:rPr>
          <w:rFonts w:ascii="宋体" w:hAnsi="宋体" w:cs="宋体"/>
          <w:b/>
          <w:kern w:val="0"/>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cs="宋体"/>
          <w:kern w:val="0"/>
          <w:sz w:val="28"/>
          <w:szCs w:val="28"/>
          <w:highlight w:val="none"/>
        </w:rPr>
        <w:t>烧碱运输应当符合国家对危险化学品运输的有关规定。</w:t>
      </w:r>
    </w:p>
    <w:p>
      <w:pPr>
        <w:widowControl/>
        <w:suppressAutoHyphens/>
        <w:spacing w:line="360" w:lineRule="auto"/>
        <w:ind w:firstLine="560" w:firstLineChars="200"/>
        <w:rPr>
          <w:rFonts w:ascii="宋体" w:hAnsi="宋体" w:cs="宋体"/>
          <w:kern w:val="0"/>
          <w:sz w:val="28"/>
          <w:szCs w:val="32"/>
          <w:highlight w:val="none"/>
        </w:rPr>
      </w:pPr>
      <w:r>
        <w:rPr>
          <w:rFonts w:hint="eastAsia" w:ascii="黑体" w:hAnsi="黑体" w:eastAsia="黑体" w:cs="宋体"/>
          <w:color w:val="000000"/>
          <w:kern w:val="0"/>
          <w:sz w:val="28"/>
          <w:szCs w:val="28"/>
          <w:highlight w:val="none"/>
        </w:rPr>
        <w:t xml:space="preserve">第二十八条 </w:t>
      </w:r>
      <w:r>
        <w:rPr>
          <w:rFonts w:ascii="宋体" w:hAnsi="宋体" w:cs="宋体"/>
          <w:kern w:val="0"/>
          <w:sz w:val="28"/>
          <w:szCs w:val="32"/>
          <w:highlight w:val="none"/>
        </w:rPr>
        <w:t>烧碱入库时</w:t>
      </w:r>
      <w:r>
        <w:rPr>
          <w:rFonts w:hint="eastAsia" w:ascii="宋体" w:hAnsi="宋体" w:cs="宋体"/>
          <w:kern w:val="0"/>
          <w:sz w:val="28"/>
          <w:szCs w:val="32"/>
          <w:highlight w:val="none"/>
        </w:rPr>
        <w:t>，</w:t>
      </w:r>
      <w:r>
        <w:rPr>
          <w:rFonts w:ascii="宋体" w:hAnsi="宋体" w:cs="宋体"/>
          <w:kern w:val="0"/>
          <w:sz w:val="28"/>
          <w:szCs w:val="32"/>
          <w:highlight w:val="none"/>
        </w:rPr>
        <w:t>应</w:t>
      </w:r>
      <w:r>
        <w:rPr>
          <w:rFonts w:hint="eastAsia" w:ascii="宋体" w:hAnsi="宋体" w:cs="宋体"/>
          <w:kern w:val="0"/>
          <w:sz w:val="28"/>
          <w:szCs w:val="32"/>
          <w:highlight w:val="none"/>
        </w:rPr>
        <w:t>当</w:t>
      </w:r>
      <w:r>
        <w:rPr>
          <w:rFonts w:ascii="宋体" w:hAnsi="宋体" w:cs="宋体"/>
          <w:kern w:val="0"/>
          <w:sz w:val="28"/>
          <w:szCs w:val="32"/>
          <w:highlight w:val="none"/>
        </w:rPr>
        <w:t>向仓库提交本批烧碱</w:t>
      </w:r>
      <w:r>
        <w:rPr>
          <w:rFonts w:hint="eastAsia" w:ascii="宋体" w:hAnsi="宋体" w:cs="宋体"/>
          <w:kern w:val="0"/>
          <w:sz w:val="28"/>
          <w:szCs w:val="32"/>
          <w:highlight w:val="none"/>
        </w:rPr>
        <w:t>生产厂家出具的符合</w:t>
      </w:r>
      <w:r>
        <w:rPr>
          <w:rFonts w:hint="eastAsia" w:ascii="宋体" w:hAnsi="宋体" w:cs="宋体"/>
          <w:color w:val="000000"/>
          <w:kern w:val="0"/>
          <w:sz w:val="28"/>
          <w:szCs w:val="28"/>
          <w:highlight w:val="none"/>
        </w:rPr>
        <w:t>交割</w:t>
      </w:r>
      <w:r>
        <w:rPr>
          <w:rFonts w:hint="eastAsia" w:ascii="宋体" w:hAnsi="宋体" w:cs="宋体"/>
          <w:kern w:val="0"/>
          <w:sz w:val="28"/>
          <w:szCs w:val="32"/>
          <w:highlight w:val="none"/>
        </w:rPr>
        <w:t>标准的《产品质量证明书》或者其他能证明产品质量的书面材料。《产品质量证明书》应当载有生产厂家、生产日期、适用的质量标准以及该批商品的质量检验结果等信息。</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仓库应当对前款规定的入库商品单证以及标准仓单注册人的危险化学品经营资质进行审验。</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cs="宋体"/>
          <w:kern w:val="0"/>
          <w:sz w:val="28"/>
          <w:szCs w:val="28"/>
          <w:highlight w:val="none"/>
        </w:rPr>
        <w:t>烧碱入库时，采用汽车运输的，以地磅计量为准，由仓库负责重量验收；采用火车、船舶运输的，</w:t>
      </w:r>
      <w:r>
        <w:rPr>
          <w:rFonts w:hint="eastAsia" w:ascii="宋体" w:hAnsi="宋体" w:cs="宋体"/>
          <w:color w:val="000000"/>
          <w:kern w:val="0"/>
          <w:sz w:val="28"/>
          <w:szCs w:val="28"/>
          <w:highlight w:val="none"/>
        </w:rPr>
        <w:t>以仓库储罐打尺计量为准。</w:t>
      </w:r>
      <w:r>
        <w:rPr>
          <w:rFonts w:hint="eastAsia" w:ascii="宋体" w:hAnsi="宋体" w:cs="宋体"/>
          <w:kern w:val="0"/>
          <w:sz w:val="28"/>
          <w:szCs w:val="28"/>
          <w:highlight w:val="none"/>
        </w:rPr>
        <w:t>标准仓单注册人可以委托指定质检机构进行验重，仓库应当予以配合，由此产生的费用由标准仓单注册人承担。</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经交易所批准，烧碱重量验收可以使用国家质量技术监督部门认可的其他先进衡器计量。</w:t>
      </w:r>
    </w:p>
    <w:p>
      <w:pPr>
        <w:tabs>
          <w:tab w:val="left" w:pos="5103"/>
        </w:tabs>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cs="宋体"/>
          <w:kern w:val="0"/>
          <w:sz w:val="28"/>
          <w:szCs w:val="28"/>
          <w:highlight w:val="none"/>
        </w:rPr>
        <w:t>烧碱入库采样和质量检验由指定质检机构负责，按有关国家标准执行，由此产生的费用（不含仓库配合费用）由标准仓单注册人承担。标准仓单注册人与</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仓库协</w:t>
      </w:r>
      <w:r>
        <w:rPr>
          <w:rFonts w:hint="eastAsia" w:ascii="宋体" w:hAnsi="宋体" w:eastAsia="宋体" w:cs="宋体"/>
          <w:kern w:val="0"/>
          <w:sz w:val="28"/>
          <w:szCs w:val="28"/>
          <w:highlight w:val="none"/>
        </w:rPr>
        <w:t>商一致的，可以委托</w:t>
      </w:r>
      <w:r>
        <w:rPr>
          <w:rFonts w:hint="eastAsia" w:ascii="宋体" w:hAnsi="宋体" w:eastAsia="宋体" w:cs="宋体"/>
          <w:color w:val="000000"/>
          <w:kern w:val="0"/>
          <w:sz w:val="28"/>
          <w:szCs w:val="28"/>
          <w:highlight w:val="none"/>
        </w:rPr>
        <w:t>交割</w:t>
      </w:r>
      <w:r>
        <w:rPr>
          <w:rFonts w:hint="eastAsia" w:ascii="宋体" w:hAnsi="宋体" w:eastAsia="宋体" w:cs="宋体"/>
          <w:kern w:val="0"/>
          <w:sz w:val="28"/>
          <w:szCs w:val="28"/>
          <w:highlight w:val="none"/>
        </w:rPr>
        <w:t>仓库进行采样。指定质检机构应当自完成采样之日起3个工作</w:t>
      </w:r>
      <w:r>
        <w:rPr>
          <w:rFonts w:hint="eastAsia" w:ascii="宋体" w:hAnsi="宋体" w:cs="宋体"/>
          <w:kern w:val="0"/>
          <w:sz w:val="28"/>
          <w:szCs w:val="28"/>
          <w:highlight w:val="none"/>
        </w:rPr>
        <w:t>日内出具检验结果，并及时通知仓库。</w:t>
      </w:r>
    </w:p>
    <w:p>
      <w:pPr>
        <w:tabs>
          <w:tab w:val="left" w:pos="5103"/>
        </w:tabs>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标准仓单注册人或者仓库对入库质量检验结果有异议的，可以向交易所提出质量复检申请。具体流程按照《郑州商品交易所标准仓单管理办法》“仓库商品入库复检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suppressAutoHyphens/>
        <w:spacing w:line="360" w:lineRule="auto"/>
        <w:ind w:firstLine="560" w:firstLineChars="200"/>
        <w:rPr>
          <w:rFonts w:ascii="Calibri" w:hAnsi="Calibri"/>
          <w:szCs w:val="22"/>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cs="宋体"/>
          <w:color w:val="000000"/>
          <w:kern w:val="0"/>
          <w:sz w:val="28"/>
          <w:szCs w:val="28"/>
          <w:highlight w:val="none"/>
        </w:rPr>
        <w:t>烧碱重量验收及入库采样时，标准仓单注册人应当到场监督。</w:t>
      </w:r>
      <w:r>
        <w:rPr>
          <w:rFonts w:hint="eastAsia" w:ascii="宋体" w:hAnsi="宋体" w:cs="宋体"/>
          <w:kern w:val="0"/>
          <w:sz w:val="28"/>
          <w:szCs w:val="28"/>
          <w:highlight w:val="none"/>
        </w:rPr>
        <w:t>仓库和标准仓单注册人对验收结果签章确认，并共同对入库商品的真实性负责；入库商品未经仓库、标准仓单注册人签章确认的，不得用于期货</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烧碱入库后，仓库应当对标准仓单注册人的名称、联系人及联系方式、商品数量、生产厂家、存放罐号、氢氧化钠含量等事项登记造册，并由标准仓单注册人签字确认。</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cs="宋体"/>
          <w:kern w:val="0"/>
          <w:sz w:val="28"/>
          <w:szCs w:val="28"/>
          <w:highlight w:val="none"/>
        </w:rPr>
        <w:t>已经在库的烧碱，能够提供指定质检机构出具的检验报告，证明该批商品符合烧碱期货</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标准的，经仓库认可后，可以申请注册标准仓单。</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cs="宋体"/>
          <w:kern w:val="0"/>
          <w:sz w:val="28"/>
          <w:szCs w:val="28"/>
          <w:highlight w:val="none"/>
        </w:rPr>
        <w:t>期货、现货混罐存储的烧碱，仓库应当确保整罐商品符合烧碱期货</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标准的规定，不符合规定的，不允许混罐存储或者申请注册标准仓单。</w:t>
      </w:r>
    </w:p>
    <w:p>
      <w:pPr>
        <w:suppressAutoHyphens/>
        <w:spacing w:line="360" w:lineRule="auto"/>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第三十</w:t>
      </w:r>
      <w:r>
        <w:rPr>
          <w:rFonts w:ascii="黑体" w:hAnsi="黑体" w:eastAsia="黑体" w:cs="宋体"/>
          <w:color w:val="000000"/>
          <w:kern w:val="0"/>
          <w:sz w:val="28"/>
          <w:szCs w:val="28"/>
          <w:highlight w:val="none"/>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烧碱仓库标准仓单注销后，提货人应当在交易所开具《提货通知单》</w:t>
      </w:r>
      <w:r>
        <w:rPr>
          <w:rFonts w:hint="eastAsia" w:ascii="宋体" w:hAnsi="宋体" w:eastAsia="宋体" w:cs="宋体"/>
          <w:kern w:val="0"/>
          <w:sz w:val="28"/>
          <w:szCs w:val="28"/>
          <w:highlight w:val="none"/>
        </w:rPr>
        <w:t>之日起10个工作日内，凭提货人身份证、提货人所在单位证明及《提货通知单》验证密码到仓库办理提货手续，确认商品质量、运输方式，并预交各项费用。提货人应当在办理完成提货手续之日起2个工作日内开始提货，双方协商一致的除外。</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eastAsia="宋体" w:cs="宋体"/>
          <w:kern w:val="0"/>
          <w:sz w:val="28"/>
          <w:szCs w:val="28"/>
          <w:highlight w:val="none"/>
        </w:rPr>
        <w:t>提货人提供运输工具的，自提货人凭《提货通知单》</w:t>
      </w:r>
      <w:r>
        <w:rPr>
          <w:rFonts w:hint="eastAsia" w:ascii="宋体" w:hAnsi="宋体" w:cs="宋体"/>
          <w:kern w:val="0"/>
          <w:sz w:val="28"/>
          <w:szCs w:val="28"/>
          <w:highlight w:val="none"/>
        </w:rPr>
        <w:t>与仓库联系出库事宜、运输工具到达仓库之日起，仓库开始发货，并停止收取已装运货物的仓储费。</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提货人可以委托仓库代办运输，自提货人凭《提货通知单》与仓库联系确认出库事宜、指定运达地点并预交相关费用（包括铁路代办费、港杂费等）之日起，采用汽车</w:t>
      </w:r>
      <w:r>
        <w:rPr>
          <w:rFonts w:hint="eastAsia" w:ascii="宋体" w:hAnsi="宋体" w:eastAsia="宋体" w:cs="宋体"/>
          <w:kern w:val="0"/>
          <w:sz w:val="28"/>
          <w:szCs w:val="28"/>
          <w:highlight w:val="none"/>
        </w:rPr>
        <w:t>、船舶运输的，仓库在10个日历日内开始发货；采用火车运输的，仓库在20个日历日内开</w:t>
      </w:r>
      <w:r>
        <w:rPr>
          <w:rFonts w:ascii="宋体" w:hAnsi="宋体" w:cs="宋体"/>
          <w:kern w:val="0"/>
          <w:sz w:val="28"/>
          <w:szCs w:val="28"/>
          <w:highlight w:val="none"/>
        </w:rPr>
        <w:t>始发货</w:t>
      </w:r>
      <w:r>
        <w:rPr>
          <w:rFonts w:hint="eastAsia" w:ascii="宋体" w:hAnsi="宋体" w:cs="宋体"/>
          <w:kern w:val="0"/>
          <w:sz w:val="28"/>
          <w:szCs w:val="28"/>
          <w:highlight w:val="none"/>
        </w:rPr>
        <w:t>。仓库不能在规定时间内发货的，不得收取规定时间后产生的仓储费。</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由于提货人变更发货方式或者发货时间、提货手续不全、费用未按时交纳、特殊要求等原因，致使商品装运推迟的，仓库发货时间不受前款规定限制。</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ascii="黑体" w:hAnsi="黑体" w:eastAsia="黑体" w:cs="宋体"/>
          <w:color w:val="000000"/>
          <w:kern w:val="0"/>
          <w:sz w:val="28"/>
          <w:szCs w:val="28"/>
          <w:highlight w:val="none"/>
        </w:rPr>
        <w:t>五条</w:t>
      </w:r>
      <w:r>
        <w:rPr>
          <w:rFonts w:hint="default" w:ascii="黑体" w:hAnsi="黑体" w:eastAsia="黑体" w:cs="宋体"/>
          <w:color w:val="000000"/>
          <w:kern w:val="0"/>
          <w:sz w:val="28"/>
          <w:szCs w:val="28"/>
          <w:highlight w:val="none"/>
          <w:lang w:val="en-US"/>
        </w:rPr>
        <w:t xml:space="preserve"> </w:t>
      </w:r>
      <w:r>
        <w:rPr>
          <w:rFonts w:hint="eastAsia" w:ascii="宋体" w:hAnsi="宋体" w:cs="宋体"/>
          <w:kern w:val="0"/>
          <w:sz w:val="28"/>
          <w:szCs w:val="28"/>
          <w:highlight w:val="none"/>
        </w:rPr>
        <w:t>烧碱出库重量验收由仓库和提货人共同实施，具体办法参照入库重量验收规定。</w:t>
      </w:r>
    </w:p>
    <w:p>
      <w:pPr>
        <w:suppressAutoHyphens/>
        <w:spacing w:line="360" w:lineRule="auto"/>
        <w:ind w:firstLine="560" w:firstLineChars="200"/>
        <w:rPr>
          <w:sz w:val="28"/>
          <w:szCs w:val="28"/>
          <w:highlight w:val="none"/>
        </w:rPr>
      </w:pPr>
      <w:r>
        <w:rPr>
          <w:rFonts w:hint="eastAsia"/>
          <w:sz w:val="28"/>
          <w:szCs w:val="28"/>
          <w:highlight w:val="none"/>
        </w:rPr>
        <w:t>烧碱出库时数量发生损耗造成短少的，仓库应当及时补足。不能及时补足的，仓库按照《提货通知单》开具日（含该日）之前烧碱期货最近</w:t>
      </w:r>
      <w:r>
        <w:rPr>
          <w:rFonts w:hint="eastAsia" w:ascii="宋体" w:hAnsi="宋体" w:cs="宋体"/>
          <w:color w:val="000000"/>
          <w:kern w:val="0"/>
          <w:sz w:val="28"/>
          <w:szCs w:val="28"/>
          <w:highlight w:val="none"/>
        </w:rPr>
        <w:t>交割</w:t>
      </w:r>
      <w:r>
        <w:rPr>
          <w:rFonts w:hint="eastAsia"/>
          <w:sz w:val="28"/>
          <w:szCs w:val="28"/>
          <w:highlight w:val="none"/>
        </w:rPr>
        <w:t>月最高</w:t>
      </w:r>
      <w:r>
        <w:rPr>
          <w:rFonts w:hint="eastAsia" w:ascii="宋体" w:hAnsi="宋体" w:cs="宋体"/>
          <w:color w:val="000000"/>
          <w:kern w:val="0"/>
          <w:sz w:val="28"/>
          <w:szCs w:val="28"/>
          <w:highlight w:val="none"/>
        </w:rPr>
        <w:t>交割</w:t>
      </w:r>
      <w:r>
        <w:rPr>
          <w:rFonts w:hint="eastAsia"/>
          <w:sz w:val="28"/>
          <w:szCs w:val="28"/>
          <w:highlight w:val="none"/>
        </w:rPr>
        <w:t>结算价核算短少商品价款，赔偿提货人。</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第三十</w:t>
      </w:r>
      <w:r>
        <w:rPr>
          <w:rFonts w:ascii="黑体" w:hAnsi="黑体" w:eastAsia="黑体" w:cs="宋体"/>
          <w:color w:val="000000"/>
          <w:kern w:val="0"/>
          <w:sz w:val="28"/>
          <w:szCs w:val="28"/>
          <w:highlight w:val="none"/>
        </w:rPr>
        <w:t>六</w:t>
      </w:r>
      <w:r>
        <w:rPr>
          <w:rFonts w:hint="eastAsia" w:ascii="黑体" w:hAnsi="黑体" w:eastAsia="黑体" w:cs="宋体"/>
          <w:color w:val="000000"/>
          <w:kern w:val="0"/>
          <w:sz w:val="28"/>
          <w:szCs w:val="28"/>
          <w:highlight w:val="none"/>
        </w:rPr>
        <w:t xml:space="preserve">条 </w:t>
      </w:r>
      <w:r>
        <w:rPr>
          <w:rFonts w:hint="eastAsia"/>
          <w:sz w:val="28"/>
          <w:szCs w:val="28"/>
          <w:highlight w:val="none"/>
        </w:rPr>
        <w:t>烧碱出库时，</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对商品质量有异议的，可以向交易所申请一次复检，并预交复检费用。质量异议应当在</w:t>
      </w:r>
      <w:r>
        <w:rPr>
          <w:rFonts w:hint="eastAsia" w:ascii="宋体" w:hAnsi="宋体" w:cs="宋体"/>
          <w:kern w:val="0"/>
          <w:sz w:val="28"/>
          <w:szCs w:val="28"/>
          <w:highlight w:val="none"/>
        </w:rPr>
        <w:t>《提货通知单》开具之日</w:t>
      </w:r>
      <w:r>
        <w:rPr>
          <w:rFonts w:hint="eastAsia" w:ascii="宋体" w:hAnsi="宋体" w:eastAsia="宋体" w:cs="宋体"/>
          <w:kern w:val="0"/>
          <w:sz w:val="28"/>
          <w:szCs w:val="28"/>
          <w:highlight w:val="none"/>
        </w:rPr>
        <w:t>起10个工作日</w:t>
      </w:r>
      <w:r>
        <w:rPr>
          <w:rFonts w:hint="eastAsia" w:ascii="宋体" w:hAnsi="宋体" w:cs="宋体"/>
          <w:kern w:val="0"/>
          <w:sz w:val="28"/>
          <w:szCs w:val="28"/>
          <w:highlight w:val="none"/>
        </w:rPr>
        <w:t>内</w:t>
      </w:r>
      <w:r>
        <w:rPr>
          <w:rFonts w:hint="eastAsia" w:ascii="宋体" w:hAnsi="宋体" w:cs="宋体"/>
          <w:color w:val="000000"/>
          <w:kern w:val="0"/>
          <w:sz w:val="28"/>
          <w:szCs w:val="28"/>
          <w:highlight w:val="none"/>
        </w:rPr>
        <w:t>提出。</w:t>
      </w:r>
      <w:r>
        <w:rPr>
          <w:rFonts w:hint="eastAsia" w:ascii="宋体" w:hAnsi="宋体" w:cs="宋体"/>
          <w:kern w:val="0"/>
          <w:sz w:val="28"/>
          <w:szCs w:val="28"/>
          <w:highlight w:val="none"/>
        </w:rPr>
        <w:t>具体流程按照《郑州商品交易所标准仓单管理办法》“仓库商品出库复检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suppressAutoHyphens/>
        <w:spacing w:line="360" w:lineRule="auto"/>
        <w:jc w:val="center"/>
        <w:outlineLvl w:val="1"/>
        <w:rPr>
          <w:rFonts w:ascii="宋体" w:hAnsi="宋体" w:cs="宋体"/>
          <w:b/>
          <w:kern w:val="0"/>
          <w:sz w:val="28"/>
          <w:szCs w:val="28"/>
          <w:highlight w:val="none"/>
        </w:rPr>
      </w:pPr>
      <w:bookmarkStart w:id="7" w:name="_Toc1067037668"/>
      <w:r>
        <w:rPr>
          <w:rFonts w:hint="eastAsia" w:ascii="宋体" w:hAnsi="宋体" w:cs="宋体"/>
          <w:b/>
          <w:kern w:val="0"/>
          <w:sz w:val="28"/>
          <w:szCs w:val="28"/>
          <w:highlight w:val="none"/>
        </w:rPr>
        <w:t>第四节 厂库标准仓单</w:t>
      </w:r>
      <w:r>
        <w:rPr>
          <w:rFonts w:hint="eastAsia" w:ascii="宋体" w:hAnsi="宋体" w:eastAsia="宋体" w:cs="宋体"/>
          <w:b/>
          <w:color w:val="auto"/>
          <w:kern w:val="0"/>
          <w:sz w:val="28"/>
          <w:szCs w:val="28"/>
          <w:highlight w:val="none"/>
        </w:rPr>
        <w:t>交割</w:t>
      </w:r>
      <w:bookmarkEnd w:id="7"/>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cs="宋体"/>
          <w:kern w:val="0"/>
          <w:sz w:val="28"/>
          <w:szCs w:val="28"/>
          <w:highlight w:val="none"/>
        </w:rPr>
        <w:t>烧碱厂库允许注册标准仓单的最大数量由交易所确定，交易所可以根据情况予以调整。</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烧碱厂库申请注册标准仓单前，应当按照交易所规定提供标准仓单注册担保。</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cs="宋体"/>
          <w:kern w:val="0"/>
          <w:sz w:val="28"/>
          <w:szCs w:val="28"/>
          <w:highlight w:val="none"/>
        </w:rPr>
        <w:t>烧碱厂库标准仓单注销后，提货人应当在交易所开具《提货通知单》</w:t>
      </w:r>
      <w:r>
        <w:rPr>
          <w:rFonts w:hint="eastAsia" w:ascii="宋体" w:hAnsi="宋体" w:eastAsia="宋体" w:cs="宋体"/>
          <w:kern w:val="0"/>
          <w:sz w:val="28"/>
          <w:szCs w:val="28"/>
          <w:highlight w:val="none"/>
        </w:rPr>
        <w:t>之日起10个工</w:t>
      </w:r>
      <w:r>
        <w:rPr>
          <w:rFonts w:hint="eastAsia" w:ascii="宋体" w:hAnsi="宋体" w:cs="宋体"/>
          <w:kern w:val="0"/>
          <w:sz w:val="28"/>
          <w:szCs w:val="28"/>
          <w:highlight w:val="none"/>
        </w:rPr>
        <w:t>作日内，凭提货人身份证、提货人所在单位证明及《提货通知单》验证密码到厂库办理提货手续，确认商品质量、运输方式，并预交各项费用。</w:t>
      </w:r>
    </w:p>
    <w:p>
      <w:pPr>
        <w:widowControl/>
        <w:suppressAutoHyphens/>
        <w:ind w:firstLine="560" w:firstLineChars="200"/>
        <w:jc w:val="left"/>
        <w:rPr>
          <w:rFonts w:ascii="Calibri" w:hAnsi="Calibri"/>
          <w:highlight w:val="none"/>
        </w:rPr>
      </w:pPr>
      <w:r>
        <w:rPr>
          <w:rFonts w:hint="eastAsia" w:ascii="宋体" w:hAnsi="宋体" w:cs="宋体"/>
          <w:color w:val="000000"/>
          <w:kern w:val="0"/>
          <w:sz w:val="28"/>
          <w:szCs w:val="28"/>
          <w:highlight w:val="none"/>
        </w:rPr>
        <w:t>提货人办理提货手续时，应当就发货速度及最后完成出库时间与厂库协商一致，协商不成的，厂库应当按照交易所批准的日发货速度发货。</w:t>
      </w:r>
    </w:p>
    <w:p>
      <w:pPr>
        <w:suppressAutoHyphens/>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本细则所称厂库日发货速度，是指</w:t>
      </w:r>
      <w:r>
        <w:rPr>
          <w:rFonts w:hint="eastAsia" w:ascii="宋体" w:hAnsi="宋体" w:eastAsia="宋体" w:cs="宋体"/>
          <w:color w:val="000000"/>
          <w:kern w:val="0"/>
          <w:sz w:val="28"/>
          <w:szCs w:val="28"/>
          <w:highlight w:val="none"/>
        </w:rPr>
        <w:t>厂库在24小时内</w:t>
      </w:r>
      <w:r>
        <w:rPr>
          <w:rFonts w:hint="eastAsia" w:ascii="宋体" w:hAnsi="宋体" w:cs="宋体"/>
          <w:color w:val="000000"/>
          <w:kern w:val="0"/>
          <w:sz w:val="28"/>
          <w:szCs w:val="28"/>
          <w:highlight w:val="none"/>
        </w:rPr>
        <w:t>安排期货商品发货的最低数量。厂库日发货速度由交易所确定和调整。</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ascii="黑体" w:hAnsi="黑体" w:eastAsia="黑体" w:cs="宋体"/>
          <w:color w:val="000000"/>
          <w:kern w:val="0"/>
          <w:sz w:val="28"/>
          <w:szCs w:val="28"/>
          <w:highlight w:val="none"/>
        </w:rPr>
        <w:t>三十九条</w:t>
      </w:r>
      <w:r>
        <w:rPr>
          <w:rFonts w:hint="default" w:ascii="黑体" w:hAnsi="黑体" w:eastAsia="黑体" w:cs="宋体"/>
          <w:color w:val="000000"/>
          <w:kern w:val="0"/>
          <w:sz w:val="28"/>
          <w:szCs w:val="28"/>
          <w:highlight w:val="none"/>
          <w:lang w:val="en-US"/>
        </w:rPr>
        <w:t xml:space="preserve"> </w:t>
      </w:r>
      <w:r>
        <w:rPr>
          <w:rFonts w:ascii="宋体" w:hAnsi="宋体" w:cs="宋体"/>
          <w:color w:val="000000"/>
          <w:kern w:val="0"/>
          <w:sz w:val="28"/>
          <w:szCs w:val="28"/>
          <w:highlight w:val="none"/>
        </w:rPr>
        <w:t>厂库应当</w:t>
      </w:r>
      <w:r>
        <w:rPr>
          <w:rFonts w:hint="eastAsia" w:ascii="宋体" w:hAnsi="宋体" w:cs="宋体"/>
          <w:kern w:val="0"/>
          <w:sz w:val="28"/>
          <w:szCs w:val="28"/>
          <w:highlight w:val="none"/>
        </w:rPr>
        <w:t>在提货人办理提货手续</w:t>
      </w:r>
      <w:r>
        <w:rPr>
          <w:rFonts w:hint="eastAsia" w:ascii="宋体" w:hAnsi="宋体" w:eastAsia="宋体" w:cs="宋体"/>
          <w:kern w:val="0"/>
          <w:sz w:val="28"/>
          <w:szCs w:val="28"/>
          <w:highlight w:val="none"/>
        </w:rPr>
        <w:t>之日起3个日历</w:t>
      </w:r>
      <w:r>
        <w:rPr>
          <w:rFonts w:hint="eastAsia" w:ascii="宋体" w:hAnsi="宋体" w:cs="宋体"/>
          <w:kern w:val="0"/>
          <w:sz w:val="28"/>
          <w:szCs w:val="28"/>
          <w:highlight w:val="none"/>
        </w:rPr>
        <w:t>日内开始发货，提货人与厂库协商一致的除外。提货人可以自行到库提货或者委托厂库代为发运。</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cs="宋体"/>
          <w:kern w:val="0"/>
          <w:sz w:val="28"/>
          <w:szCs w:val="28"/>
          <w:highlight w:val="none"/>
        </w:rPr>
        <w:t>烧碱厂库出库重量验收由提货人与厂库共同实施，以厂库检重为准，足量出库。</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烧碱出库重量发生短少的，厂库应当及时补足。不能补足的，厂库应当按照《提货通知单》开具日（含该日）之前烧碱期货最近</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月最高</w:t>
      </w:r>
      <w:r>
        <w:rPr>
          <w:rFonts w:hint="eastAsia" w:ascii="宋体" w:hAnsi="宋体" w:cs="宋体"/>
          <w:color w:val="000000"/>
          <w:kern w:val="0"/>
          <w:sz w:val="28"/>
          <w:szCs w:val="28"/>
          <w:highlight w:val="none"/>
        </w:rPr>
        <w:t>交割</w:t>
      </w:r>
      <w:r>
        <w:rPr>
          <w:rFonts w:hint="eastAsia" w:ascii="宋体" w:hAnsi="宋体" w:cs="宋体"/>
          <w:kern w:val="0"/>
          <w:sz w:val="28"/>
          <w:szCs w:val="28"/>
          <w:highlight w:val="none"/>
        </w:rPr>
        <w:t>结算价核算短少商品价款，赔偿提货人。</w:t>
      </w:r>
    </w:p>
    <w:p>
      <w:pPr>
        <w:suppressAutoHyphens/>
        <w:spacing w:line="360" w:lineRule="auto"/>
        <w:ind w:firstLine="560" w:firstLineChars="200"/>
        <w:rPr>
          <w:rFonts w:ascii="楷体" w:hAnsi="楷体" w:eastAsia="楷体" w:cs="宋体"/>
          <w:kern w:val="0"/>
          <w:sz w:val="24"/>
          <w:highlight w:val="none"/>
        </w:rPr>
      </w:pPr>
      <w:r>
        <w:rPr>
          <w:rFonts w:hint="eastAsia" w:ascii="宋体" w:hAnsi="宋体" w:cs="宋体"/>
          <w:kern w:val="0"/>
          <w:sz w:val="28"/>
          <w:szCs w:val="28"/>
          <w:highlight w:val="none"/>
        </w:rPr>
        <w:t>提货人在货物交收时应当到交收地点监发，未到场监发的，视为对货物重量无异议。</w:t>
      </w:r>
    </w:p>
    <w:p>
      <w:pPr>
        <w:suppressAutoHyphens/>
        <w:spacing w:line="360" w:lineRule="auto"/>
        <w:ind w:firstLine="560" w:firstLineChars="200"/>
        <w:rPr>
          <w:rFonts w:ascii="宋体" w:hAnsi="宋体" w:cs="宋体"/>
          <w:kern w:val="0"/>
          <w:sz w:val="28"/>
          <w:szCs w:val="32"/>
          <w:highlight w:val="none"/>
        </w:rPr>
      </w:pPr>
      <w:r>
        <w:rPr>
          <w:rFonts w:hint="eastAsia" w:ascii="黑体" w:hAnsi="黑体" w:eastAsia="黑体" w:cs="宋体"/>
          <w:color w:val="000000"/>
          <w:kern w:val="0"/>
          <w:sz w:val="28"/>
          <w:szCs w:val="28"/>
          <w:highlight w:val="none"/>
        </w:rPr>
        <w:t>第四十</w:t>
      </w:r>
      <w:r>
        <w:rPr>
          <w:rFonts w:ascii="黑体" w:hAnsi="黑体" w:eastAsia="黑体" w:cs="宋体"/>
          <w:color w:val="000000"/>
          <w:kern w:val="0"/>
          <w:sz w:val="28"/>
          <w:szCs w:val="28"/>
          <w:highlight w:val="none"/>
        </w:rPr>
        <w:t>一</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32"/>
          <w:highlight w:val="none"/>
        </w:rPr>
        <w:t>厂库应当保证烧碱商品的质量符合交易所规定的</w:t>
      </w:r>
      <w:r>
        <w:rPr>
          <w:rFonts w:hint="eastAsia" w:ascii="宋体" w:hAnsi="宋体" w:cs="宋体"/>
          <w:color w:val="000000"/>
          <w:kern w:val="0"/>
          <w:sz w:val="28"/>
          <w:szCs w:val="28"/>
          <w:highlight w:val="none"/>
        </w:rPr>
        <w:t>交割</w:t>
      </w:r>
      <w:r>
        <w:rPr>
          <w:rFonts w:hint="eastAsia" w:ascii="宋体" w:hAnsi="宋体" w:cs="宋体"/>
          <w:kern w:val="0"/>
          <w:sz w:val="28"/>
          <w:szCs w:val="32"/>
          <w:highlight w:val="none"/>
        </w:rPr>
        <w:t>标准，双方协商一致的除外。</w:t>
      </w:r>
    </w:p>
    <w:p>
      <w:pPr>
        <w:suppressAutoHyphens/>
        <w:spacing w:line="360" w:lineRule="auto"/>
        <w:ind w:firstLine="560" w:firstLineChars="200"/>
        <w:rPr>
          <w:rFonts w:hint="eastAsia" w:ascii="宋体" w:hAnsi="宋体" w:eastAsia="宋体" w:cs="宋体"/>
          <w:kern w:val="0"/>
          <w:sz w:val="28"/>
          <w:szCs w:val="28"/>
          <w:highlight w:val="none"/>
        </w:rPr>
      </w:pPr>
      <w:r>
        <w:rPr>
          <w:rFonts w:hint="eastAsia" w:ascii="宋体" w:hAnsi="宋体" w:cs="宋体"/>
          <w:kern w:val="0"/>
          <w:sz w:val="28"/>
          <w:szCs w:val="28"/>
          <w:highlight w:val="none"/>
        </w:rPr>
        <w:t>烧碱厂库出库时，厂库应当在提货人监督下在货物装运到提货人运输工具前进行抽样，双方确认后共同封样。样品</w:t>
      </w:r>
      <w:r>
        <w:rPr>
          <w:rFonts w:hint="eastAsia" w:ascii="宋体" w:hAnsi="宋体" w:eastAsia="宋体" w:cs="宋体"/>
          <w:kern w:val="0"/>
          <w:sz w:val="28"/>
          <w:szCs w:val="28"/>
          <w:highlight w:val="none"/>
        </w:rPr>
        <w:t>一式三份，一份由提货人保存，两份由厂库保存。厂库应当在发货后至少保留样品30个日历日，作为发生质量争议时的处理依据。</w:t>
      </w:r>
    </w:p>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第四十</w:t>
      </w:r>
      <w:r>
        <w:rPr>
          <w:rFonts w:ascii="黑体" w:hAnsi="黑体" w:eastAsia="黑体" w:cs="宋体"/>
          <w:color w:val="000000"/>
          <w:kern w:val="0"/>
          <w:sz w:val="28"/>
          <w:szCs w:val="28"/>
          <w:highlight w:val="none"/>
        </w:rPr>
        <w:t>二</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提货人或者厂库</w:t>
      </w:r>
      <w:r>
        <w:rPr>
          <w:rFonts w:hint="eastAsia" w:ascii="宋体" w:hAnsi="宋体" w:cs="宋体"/>
          <w:color w:val="000000"/>
          <w:kern w:val="0"/>
          <w:sz w:val="28"/>
          <w:szCs w:val="28"/>
          <w:highlight w:val="none"/>
        </w:rPr>
        <w:t>对烧碱重量、质量有异议的，由</w:t>
      </w:r>
      <w:r>
        <w:rPr>
          <w:rFonts w:hint="eastAsia" w:ascii="宋体" w:hAnsi="宋体" w:cs="宋体"/>
          <w:kern w:val="0"/>
          <w:sz w:val="28"/>
          <w:szCs w:val="28"/>
          <w:highlight w:val="none"/>
        </w:rPr>
        <w:t>提货人</w:t>
      </w:r>
      <w:r>
        <w:rPr>
          <w:rFonts w:hint="eastAsia" w:ascii="宋体" w:hAnsi="宋体" w:cs="宋体"/>
          <w:color w:val="000000"/>
          <w:kern w:val="0"/>
          <w:sz w:val="28"/>
          <w:szCs w:val="28"/>
          <w:highlight w:val="none"/>
        </w:rPr>
        <w:t>和厂库协商解决；协商不成的，可以向交易所申请一次复检，并由申请方预交复检及相关</w:t>
      </w:r>
      <w:r>
        <w:rPr>
          <w:rFonts w:hint="eastAsia" w:ascii="宋体" w:hAnsi="宋体" w:eastAsia="宋体" w:cs="宋体"/>
          <w:color w:val="000000"/>
          <w:kern w:val="0"/>
          <w:sz w:val="28"/>
          <w:szCs w:val="28"/>
          <w:highlight w:val="none"/>
        </w:rPr>
        <w:t>费用。重量异议应当在烧碱出库前提出；质量异议应当在烧碱出库之日起5个工作日内提出。烧碱质量复检样品仅限于保留样品。</w:t>
      </w:r>
      <w:r>
        <w:rPr>
          <w:rFonts w:hint="eastAsia" w:ascii="宋体" w:hAnsi="宋体" w:eastAsia="宋体" w:cs="宋体"/>
          <w:kern w:val="0"/>
          <w:sz w:val="28"/>
          <w:szCs w:val="28"/>
          <w:highlight w:val="none"/>
        </w:rPr>
        <w:t>具体流程按照《郑州商品交易</w:t>
      </w:r>
      <w:r>
        <w:rPr>
          <w:rFonts w:hint="eastAsia" w:ascii="宋体" w:hAnsi="宋体" w:cs="宋体"/>
          <w:kern w:val="0"/>
          <w:sz w:val="28"/>
          <w:szCs w:val="28"/>
          <w:highlight w:val="none"/>
        </w:rPr>
        <w:t>所标准仓单管理办法》“厂库商品出库复检</w:t>
      </w:r>
      <w:r>
        <w:rPr>
          <w:rFonts w:ascii="宋体" w:hAnsi="宋体" w:cs="宋体"/>
          <w:kern w:val="0"/>
          <w:sz w:val="28"/>
          <w:szCs w:val="28"/>
          <w:highlight w:val="none"/>
        </w:rPr>
        <w:t>”</w:t>
      </w:r>
      <w:r>
        <w:rPr>
          <w:rFonts w:hint="eastAsia" w:ascii="宋体" w:hAnsi="宋体" w:cs="宋体"/>
          <w:kern w:val="0"/>
          <w:sz w:val="28"/>
          <w:szCs w:val="28"/>
          <w:highlight w:val="none"/>
        </w:rPr>
        <w:t>有关规定办理。</w:t>
      </w:r>
    </w:p>
    <w:p>
      <w:pPr>
        <w:widowControl/>
        <w:shd w:val="clear" w:color="auto" w:fill="auto"/>
        <w:suppressAutoHyphens/>
        <w:spacing w:line="360" w:lineRule="auto"/>
        <w:ind w:firstLine="560" w:firstLineChars="200"/>
        <w:jc w:val="both"/>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cs="宋体"/>
          <w:color w:val="000000"/>
          <w:kern w:val="0"/>
          <w:sz w:val="28"/>
          <w:szCs w:val="28"/>
          <w:highlight w:val="none"/>
        </w:rPr>
        <w:t>厂库或者提货人因故不能按照约定计划发货或者提货的，双方应当及时协商并妥善调整发货速度或者发货计划，并且过错方应当支付滞纳金。滞纳金额</w:t>
      </w:r>
      <w:r>
        <w:rPr>
          <w:rFonts w:ascii="宋体" w:hAnsi="宋体" w:cs="宋体"/>
          <w:color w:val="000000"/>
          <w:kern w:val="0"/>
          <w:sz w:val="28"/>
          <w:szCs w:val="28"/>
          <w:highlight w:val="none"/>
        </w:rPr>
        <w:t>=∑[5</w:t>
      </w:r>
      <w:r>
        <w:rPr>
          <w:rFonts w:hint="eastAsia" w:ascii="宋体" w:hAnsi="宋体" w:cs="宋体"/>
          <w:color w:val="000000"/>
          <w:kern w:val="0"/>
          <w:sz w:val="28"/>
          <w:szCs w:val="28"/>
          <w:highlight w:val="none"/>
        </w:rPr>
        <w:t>（元</w:t>
      </w:r>
      <w:r>
        <w:rPr>
          <w:rFonts w:ascii="宋体" w:hAnsi="宋体" w:cs="宋体"/>
          <w:color w:val="000000"/>
          <w:kern w:val="0"/>
          <w:sz w:val="28"/>
          <w:szCs w:val="28"/>
          <w:highlight w:val="none"/>
        </w:rPr>
        <w:t>/吨（</w:t>
      </w:r>
      <w:r>
        <w:rPr>
          <w:rFonts w:hint="eastAsia" w:ascii="宋体" w:hAnsi="宋体" w:cs="宋体"/>
          <w:color w:val="000000"/>
          <w:kern w:val="0"/>
          <w:sz w:val="28"/>
          <w:szCs w:val="28"/>
          <w:highlight w:val="none"/>
        </w:rPr>
        <w:t>湿吨重量</w:t>
      </w:r>
      <w:r>
        <w:rPr>
          <w:rFonts w:ascii="宋体" w:hAnsi="宋体" w:cs="宋体"/>
          <w:color w:val="000000"/>
          <w:kern w:val="0"/>
          <w:sz w:val="28"/>
          <w:szCs w:val="28"/>
          <w:highlight w:val="none"/>
        </w:rPr>
        <w:t>）•天）×延误天数×应发（收）而未发（收）商品数量]。</w:t>
      </w:r>
    </w:p>
    <w:p>
      <w:pPr>
        <w:widowControl/>
        <w:shd w:val="clear" w:color="auto" w:fill="auto"/>
        <w:suppressAutoHyphens/>
        <w:spacing w:line="360" w:lineRule="auto"/>
        <w:ind w:firstLine="560" w:firstLineChars="200"/>
        <w:jc w:val="both"/>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因厂库原因在约定的最后发货日起</w:t>
      </w:r>
      <w:r>
        <w:rPr>
          <w:rFonts w:ascii="宋体" w:hAnsi="宋体" w:cs="宋体"/>
          <w:color w:val="000000"/>
          <w:kern w:val="0"/>
          <w:sz w:val="28"/>
          <w:szCs w:val="28"/>
          <w:highlight w:val="none"/>
        </w:rPr>
        <w:t>5</w:t>
      </w:r>
      <w:r>
        <w:rPr>
          <w:rFonts w:hint="eastAsia" w:ascii="宋体" w:hAnsi="宋体" w:cs="宋体"/>
          <w:color w:val="000000"/>
          <w:kern w:val="0"/>
          <w:sz w:val="28"/>
          <w:szCs w:val="28"/>
          <w:highlight w:val="none"/>
        </w:rPr>
        <w:t>个日历日内仍不能完成所有商品发货的，提货人可以要求厂库终止发货并支付赔偿金。赔偿金额</w:t>
      </w:r>
      <w:r>
        <w:rPr>
          <w:rFonts w:ascii="宋体" w:hAnsi="宋体" w:cs="宋体"/>
          <w:color w:val="000000"/>
          <w:kern w:val="0"/>
          <w:sz w:val="28"/>
          <w:szCs w:val="28"/>
          <w:highlight w:val="none"/>
        </w:rPr>
        <w:t>=烧碱期货最近</w:t>
      </w:r>
      <w:r>
        <w:rPr>
          <w:rFonts w:hint="eastAsia" w:ascii="宋体" w:hAnsi="宋体" w:cs="宋体"/>
          <w:color w:val="000000"/>
          <w:kern w:val="0"/>
          <w:sz w:val="28"/>
          <w:szCs w:val="28"/>
          <w:highlight w:val="none"/>
        </w:rPr>
        <w:t>交割月最高交割结算价×应发未发的商品数量×</w:t>
      </w:r>
      <w:r>
        <w:rPr>
          <w:rFonts w:ascii="宋体" w:hAnsi="宋体" w:cs="宋体"/>
          <w:color w:val="000000"/>
          <w:kern w:val="0"/>
          <w:sz w:val="28"/>
          <w:szCs w:val="28"/>
          <w:highlight w:val="none"/>
        </w:rPr>
        <w:t>120%</w:t>
      </w:r>
      <w:r>
        <w:rPr>
          <w:rFonts w:hint="eastAsia" w:ascii="宋体" w:hAnsi="宋体" w:cs="宋体"/>
          <w:color w:val="000000"/>
          <w:kern w:val="0"/>
          <w:sz w:val="28"/>
          <w:szCs w:val="28"/>
          <w:highlight w:val="none"/>
        </w:rPr>
        <w:t>。</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因天气原因及其他不可抗力因素导致无法按计划发货或者提货的，厂库或者提货人不需支付滞纳金或者赔偿金。</w:t>
      </w:r>
    </w:p>
    <w:p>
      <w:pPr>
        <w:suppressAutoHyphens/>
        <w:spacing w:line="360" w:lineRule="auto"/>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suppressAutoHyphens/>
        <w:spacing w:line="360" w:lineRule="auto"/>
        <w:ind w:firstLine="568" w:firstLineChars="203"/>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第四十</w:t>
      </w:r>
      <w:r>
        <w:rPr>
          <w:rFonts w:ascii="黑体" w:hAnsi="黑体" w:eastAsia="黑体" w:cs="宋体"/>
          <w:color w:val="000000"/>
          <w:kern w:val="0"/>
          <w:sz w:val="28"/>
          <w:szCs w:val="28"/>
          <w:highlight w:val="none"/>
        </w:rPr>
        <w:t>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多名提货人同时提货的，厂库可以根据提货人预约时间及办理提货手续的先后顺序等因素合理安排发货。</w:t>
      </w:r>
    </w:p>
    <w:p>
      <w:pPr>
        <w:suppressAutoHyphens/>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第四十</w:t>
      </w:r>
      <w:r>
        <w:rPr>
          <w:rFonts w:ascii="黑体" w:hAnsi="黑体" w:eastAsia="黑体" w:cs="宋体"/>
          <w:color w:val="000000"/>
          <w:kern w:val="0"/>
          <w:sz w:val="28"/>
          <w:szCs w:val="28"/>
          <w:highlight w:val="none"/>
        </w:rPr>
        <w:t>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厂库发生违约行为，且厂库未赔偿或者赔偿金额不足的，交易所可以动用厂库提供的担保对提货人进行赔偿。</w:t>
      </w:r>
    </w:p>
    <w:p>
      <w:pPr>
        <w:suppressAutoHyphens/>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第四十</w:t>
      </w:r>
      <w:r>
        <w:rPr>
          <w:rFonts w:ascii="黑体" w:hAnsi="黑体" w:eastAsia="黑体" w:cs="宋体"/>
          <w:color w:val="000000"/>
          <w:kern w:val="0"/>
          <w:sz w:val="28"/>
          <w:szCs w:val="28"/>
          <w:highlight w:val="none"/>
        </w:rPr>
        <w:t>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厂库发货完毕后，交易所书面确认无质量、数量责任的，经厂库申请，交易所退还厂库提交的担保财产或者担保凭证。</w:t>
      </w:r>
    </w:p>
    <w:p>
      <w:pPr>
        <w:tabs>
          <w:tab w:val="left" w:pos="1620"/>
        </w:tabs>
        <w:suppressAutoHyphens/>
        <w:autoSpaceDE w:val="0"/>
        <w:autoSpaceDN w:val="0"/>
        <w:snapToGrid w:val="0"/>
        <w:spacing w:line="360" w:lineRule="auto"/>
        <w:jc w:val="center"/>
        <w:outlineLvl w:val="0"/>
        <w:rPr>
          <w:rFonts w:ascii="黑体" w:hAnsi="黑体" w:eastAsia="黑体" w:cs="宋体"/>
          <w:color w:val="000000"/>
          <w:kern w:val="0"/>
          <w:sz w:val="30"/>
          <w:szCs w:val="30"/>
          <w:highlight w:val="none"/>
        </w:rPr>
      </w:pPr>
      <w:bookmarkStart w:id="8" w:name="_Toc128941396"/>
      <w:r>
        <w:rPr>
          <w:rFonts w:hint="eastAsia" w:ascii="黑体" w:hAnsi="黑体" w:eastAsia="黑体" w:cs="宋体"/>
          <w:color w:val="000000"/>
          <w:kern w:val="0"/>
          <w:sz w:val="30"/>
          <w:szCs w:val="30"/>
          <w:highlight w:val="none"/>
        </w:rPr>
        <w:t xml:space="preserve">第四章 </w:t>
      </w:r>
      <w:r>
        <w:rPr>
          <w:rFonts w:ascii="黑体" w:hAnsi="黑体" w:eastAsia="黑体" w:cs="宋体"/>
          <w:color w:val="000000"/>
          <w:kern w:val="0"/>
          <w:sz w:val="30"/>
          <w:szCs w:val="30"/>
          <w:highlight w:val="none"/>
        </w:rPr>
        <w:t>风险管理</w:t>
      </w:r>
      <w:bookmarkEnd w:id="8"/>
    </w:p>
    <w:p>
      <w:pPr>
        <w:tabs>
          <w:tab w:val="left" w:pos="1620"/>
        </w:tabs>
        <w:suppressAutoHyphens/>
        <w:autoSpaceDE w:val="0"/>
        <w:autoSpaceDN w:val="0"/>
        <w:snapToGrid w:val="0"/>
        <w:spacing w:line="360" w:lineRule="auto"/>
        <w:ind w:firstLine="560" w:firstLineChars="200"/>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第四十</w:t>
      </w:r>
      <w:r>
        <w:rPr>
          <w:rFonts w:ascii="黑体" w:hAnsi="黑体" w:eastAsia="黑体" w:cs="宋体"/>
          <w:color w:val="000000"/>
          <w:kern w:val="0"/>
          <w:sz w:val="28"/>
          <w:szCs w:val="28"/>
          <w:highlight w:val="none"/>
        </w:rPr>
        <w:t>七</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烧碱期货合约最低交易保证金标准为合约价值的</w:t>
      </w:r>
      <w:r>
        <w:rPr>
          <w:rFonts w:hint="eastAsia" w:ascii="宋体" w:hAnsi="宋体" w:eastAsia="宋体" w:cs="宋体"/>
          <w:color w:val="000000"/>
          <w:kern w:val="0"/>
          <w:sz w:val="28"/>
          <w:szCs w:val="28"/>
          <w:highlight w:val="none"/>
        </w:rPr>
        <w:t>5%。</w:t>
      </w:r>
    </w:p>
    <w:p>
      <w:pPr>
        <w:tabs>
          <w:tab w:val="left" w:pos="1620"/>
        </w:tabs>
        <w:suppressAutoHyphens/>
        <w:autoSpaceDE w:val="0"/>
        <w:autoSpaceDN w:val="0"/>
        <w:snapToGrid w:val="0"/>
        <w:spacing w:line="360" w:lineRule="auto"/>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烧碱期货合约交易保证金标准见下表：</w:t>
      </w:r>
    </w:p>
    <w:tbl>
      <w:tblPr>
        <w:tblStyle w:val="5"/>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ign w:val="center"/>
          </w:tcPr>
          <w:p>
            <w:pPr>
              <w:tabs>
                <w:tab w:val="left" w:pos="1620"/>
              </w:tabs>
              <w:suppressAutoHyphens/>
              <w:autoSpaceDE w:val="0"/>
              <w:autoSpaceDN w:val="0"/>
              <w:snapToGrid w:val="0"/>
              <w:ind w:left="142"/>
              <w:jc w:val="center"/>
              <w:rPr>
                <w:rFonts w:ascii="宋体" w:hAnsi="宋体" w:cs="宋体"/>
                <w:kern w:val="0"/>
                <w:sz w:val="24"/>
                <w:highlight w:val="none"/>
              </w:rPr>
            </w:pPr>
            <w:r>
              <w:rPr>
                <w:rFonts w:ascii="宋体" w:hAnsi="宋体" w:cs="宋体"/>
                <w:kern w:val="0"/>
                <w:sz w:val="24"/>
                <w:highlight w:val="none"/>
              </w:rPr>
              <w:t>交易时间段</w:t>
            </w:r>
          </w:p>
        </w:tc>
        <w:tc>
          <w:tcPr>
            <w:tcW w:w="2835" w:type="dxa"/>
            <w:noWrap/>
            <w:vAlign w:val="center"/>
          </w:tcPr>
          <w:p>
            <w:pPr>
              <w:tabs>
                <w:tab w:val="left" w:pos="1620"/>
              </w:tabs>
              <w:suppressAutoHyphens/>
              <w:autoSpaceDE w:val="0"/>
              <w:autoSpaceDN w:val="0"/>
              <w:snapToGrid w:val="0"/>
              <w:jc w:val="center"/>
              <w:rPr>
                <w:rFonts w:ascii="宋体" w:hAnsi="宋体" w:cs="宋体"/>
                <w:kern w:val="0"/>
                <w:sz w:val="24"/>
                <w:highlight w:val="none"/>
              </w:rPr>
            </w:pPr>
            <w:r>
              <w:rPr>
                <w:rFonts w:ascii="宋体" w:hAnsi="宋体"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ign w:val="center"/>
          </w:tcPr>
          <w:p>
            <w:pPr>
              <w:tabs>
                <w:tab w:val="left" w:pos="1620"/>
              </w:tabs>
              <w:suppressAutoHyphens/>
              <w:autoSpaceDE w:val="0"/>
              <w:autoSpaceDN w:val="0"/>
              <w:snapToGrid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自合约挂牌至交割月前一个月第15个日历日期间的交易日</w:t>
            </w:r>
          </w:p>
        </w:tc>
        <w:tc>
          <w:tcPr>
            <w:tcW w:w="2835" w:type="dxa"/>
            <w:noWrap/>
            <w:vAlign w:val="center"/>
          </w:tcPr>
          <w:p>
            <w:pPr>
              <w:tabs>
                <w:tab w:val="left" w:pos="1620"/>
              </w:tabs>
              <w:suppressAutoHyphens/>
              <w:autoSpaceDE w:val="0"/>
              <w:autoSpaceDN w:val="0"/>
              <w:snapToGrid w:val="0"/>
              <w:jc w:val="center"/>
              <w:rPr>
                <w:rFonts w:hint="eastAsia" w:ascii="宋体" w:hAnsi="宋体" w:eastAsia="宋体" w:cs="宋体"/>
                <w:kern w:val="0"/>
                <w:sz w:val="24"/>
                <w:highlight w:val="none"/>
              </w:rPr>
            </w:pPr>
            <w:r>
              <w:rPr>
                <w:rFonts w:hint="eastAsia" w:ascii="宋体" w:hAnsi="宋体" w:eastAsia="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ign w:val="center"/>
          </w:tcPr>
          <w:p>
            <w:pPr>
              <w:tabs>
                <w:tab w:val="left" w:pos="1620"/>
              </w:tabs>
              <w:suppressAutoHyphens/>
              <w:autoSpaceDE w:val="0"/>
              <w:autoSpaceDN w:val="0"/>
              <w:snapToGrid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自交割月前一个月第16个日历日至交割月前一个月最后一个日历日期间的交易日</w:t>
            </w:r>
          </w:p>
        </w:tc>
        <w:tc>
          <w:tcPr>
            <w:tcW w:w="2835" w:type="dxa"/>
            <w:noWrap/>
            <w:vAlign w:val="center"/>
          </w:tcPr>
          <w:p>
            <w:pPr>
              <w:tabs>
                <w:tab w:val="left" w:pos="1620"/>
              </w:tabs>
              <w:suppressAutoHyphens/>
              <w:autoSpaceDE w:val="0"/>
              <w:autoSpaceDN w:val="0"/>
              <w:snapToGrid w:val="0"/>
              <w:jc w:val="center"/>
              <w:rPr>
                <w:rFonts w:hint="eastAsia" w:ascii="宋体" w:hAnsi="宋体" w:eastAsia="宋体" w:cs="宋体"/>
                <w:kern w:val="0"/>
                <w:sz w:val="24"/>
                <w:highlight w:val="none"/>
              </w:rPr>
            </w:pPr>
            <w:r>
              <w:rPr>
                <w:rFonts w:hint="eastAsia" w:ascii="宋体" w:hAnsi="宋体" w:eastAsia="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ign w:val="center"/>
          </w:tcPr>
          <w:p>
            <w:pPr>
              <w:tabs>
                <w:tab w:val="left" w:pos="1620"/>
              </w:tabs>
              <w:suppressAutoHyphens/>
              <w:autoSpaceDE w:val="0"/>
              <w:autoSpaceDN w:val="0"/>
              <w:snapToGrid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交割月份</w:t>
            </w:r>
          </w:p>
        </w:tc>
        <w:tc>
          <w:tcPr>
            <w:tcW w:w="2835" w:type="dxa"/>
            <w:noWrap/>
            <w:vAlign w:val="center"/>
          </w:tcPr>
          <w:p>
            <w:pPr>
              <w:tabs>
                <w:tab w:val="left" w:pos="1620"/>
              </w:tabs>
              <w:suppressAutoHyphens/>
              <w:autoSpaceDE w:val="0"/>
              <w:autoSpaceDN w:val="0"/>
              <w:snapToGrid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合约价值的20%</w:t>
            </w:r>
          </w:p>
        </w:tc>
      </w:tr>
    </w:tbl>
    <w:p>
      <w:pPr>
        <w:suppressAutoHyphens/>
        <w:spacing w:line="360" w:lineRule="auto"/>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cs="宋体"/>
          <w:kern w:val="0"/>
          <w:sz w:val="28"/>
          <w:szCs w:val="28"/>
          <w:highlight w:val="none"/>
        </w:rPr>
        <w:t>烧碱期货合约每日涨跌停板幅度为前一交易日结算价的±</w:t>
      </w:r>
      <w:r>
        <w:rPr>
          <w:rFonts w:cs="宋体"/>
          <w:kern w:val="0"/>
          <w:sz w:val="28"/>
          <w:szCs w:val="28"/>
          <w:highlight w:val="none"/>
        </w:rPr>
        <w:t>4%</w:t>
      </w:r>
      <w:r>
        <w:rPr>
          <w:rFonts w:hint="eastAsia" w:ascii="宋体" w:hAnsi="宋体" w:cs="宋体"/>
          <w:kern w:val="0"/>
          <w:sz w:val="28"/>
          <w:szCs w:val="28"/>
          <w:highlight w:val="none"/>
        </w:rPr>
        <w:t>。</w:t>
      </w:r>
    </w:p>
    <w:p>
      <w:pPr>
        <w:suppressAutoHyphens/>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w:t>
      </w:r>
      <w:r>
        <w:rPr>
          <w:rFonts w:ascii="黑体" w:hAnsi="黑体" w:eastAsia="黑体" w:cs="宋体"/>
          <w:color w:val="000000"/>
          <w:kern w:val="0"/>
          <w:sz w:val="28"/>
          <w:szCs w:val="28"/>
          <w:highlight w:val="none"/>
        </w:rPr>
        <w:t>四十九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烧碱</w:t>
      </w:r>
      <w:r>
        <w:rPr>
          <w:rFonts w:hint="eastAsia" w:ascii="宋体" w:hAnsi="宋体" w:cs="宋体"/>
          <w:color w:val="000000"/>
          <w:kern w:val="0"/>
          <w:sz w:val="28"/>
          <w:szCs w:val="28"/>
          <w:highlight w:val="none"/>
        </w:rPr>
        <w:t>期货合约限仓标准见下表：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7"/>
        <w:gridCol w:w="4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7"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交易时间段</w:t>
            </w:r>
          </w:p>
        </w:tc>
        <w:tc>
          <w:tcPr>
            <w:tcW w:w="4355"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jc w:val="center"/>
              <w:rPr>
                <w:rFonts w:ascii="宋体" w:hAnsi="宋体" w:cs="宋体"/>
                <w:color w:val="000000"/>
                <w:kern w:val="0"/>
                <w:sz w:val="24"/>
                <w:highlight w:val="none"/>
              </w:rPr>
            </w:pPr>
            <w:r>
              <w:rPr>
                <w:rFonts w:hint="eastAsia" w:ascii="宋体" w:hAnsi="宋体" w:cs="宋体"/>
                <w:color w:val="000000"/>
                <w:kern w:val="0"/>
                <w:sz w:val="24"/>
                <w:highlight w:val="none"/>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7"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自合约挂牌至交割月前一个月第15个日历日期间的交易日</w:t>
            </w:r>
          </w:p>
        </w:tc>
        <w:tc>
          <w:tcPr>
            <w:tcW w:w="4355"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4</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7"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自交割月前一个月第16个日历日至交割月前一个月最后一个日历日期间的交易日</w:t>
            </w:r>
          </w:p>
        </w:tc>
        <w:tc>
          <w:tcPr>
            <w:tcW w:w="4355"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6</w:t>
            </w:r>
            <w:r>
              <w:rPr>
                <w:rFonts w:hint="eastAsia" w:ascii="宋体" w:hAnsi="宋体" w:eastAsia="宋体" w:cs="宋体"/>
                <w:color w:val="000000"/>
                <w:kern w:val="0"/>
                <w:sz w:val="24"/>
                <w:highlight w:val="none"/>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67"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交割月份</w:t>
            </w:r>
          </w:p>
        </w:tc>
        <w:tc>
          <w:tcPr>
            <w:tcW w:w="4355" w:type="dxa"/>
            <w:tcBorders>
              <w:top w:val="single" w:color="auto" w:sz="4" w:space="0"/>
              <w:left w:val="single" w:color="auto" w:sz="4" w:space="0"/>
              <w:bottom w:val="single" w:color="auto" w:sz="4" w:space="0"/>
              <w:right w:val="single" w:color="auto" w:sz="4" w:space="0"/>
            </w:tcBorders>
            <w:noWrap/>
            <w:vAlign w:val="center"/>
          </w:tcPr>
          <w:p>
            <w:pPr>
              <w:tabs>
                <w:tab w:val="left" w:pos="1620"/>
              </w:tabs>
              <w:suppressAutoHyphens/>
              <w:autoSpaceDE w:val="0"/>
              <w:autoSpaceDN w:val="0"/>
              <w:snapToGrid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10</w:t>
            </w:r>
            <w:r>
              <w:rPr>
                <w:rFonts w:hint="eastAsia" w:ascii="宋体" w:hAnsi="宋体" w:eastAsia="宋体" w:cs="宋体"/>
                <w:color w:val="000000"/>
                <w:kern w:val="0"/>
                <w:sz w:val="24"/>
                <w:highlight w:val="none"/>
              </w:rPr>
              <w:t>0</w:t>
            </w:r>
          </w:p>
          <w:p>
            <w:pPr>
              <w:tabs>
                <w:tab w:val="left" w:pos="1620"/>
              </w:tabs>
              <w:suppressAutoHyphen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（自然人客户最大单边持仓量为0手）</w:t>
            </w:r>
          </w:p>
        </w:tc>
      </w:tr>
    </w:tbl>
    <w:p>
      <w:pPr>
        <w:suppressAutoHyphens/>
        <w:spacing w:line="360" w:lineRule="auto"/>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本条所称限仓是指交易所规定会员或者客户按单边计算的、可以持有某一期货合约投机持仓的最大数量。</w:t>
      </w:r>
    </w:p>
    <w:p>
      <w:pPr>
        <w:suppressAutoHyphens/>
        <w:spacing w:line="360" w:lineRule="auto"/>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cs="宋体"/>
          <w:color w:val="000000"/>
          <w:kern w:val="0"/>
          <w:sz w:val="28"/>
          <w:szCs w:val="28"/>
          <w:highlight w:val="none"/>
        </w:rPr>
        <w:t>根据《郑州商品交易所期货交易风险控制管理办法》等有关规定，交易所对烧碱期货合约交易保证金标准、涨跌停板幅度进行调整的，按照相关标准执行。</w:t>
      </w:r>
    </w:p>
    <w:p>
      <w:pPr>
        <w:suppressAutoHyphens/>
        <w:spacing w:line="360" w:lineRule="auto"/>
        <w:jc w:val="center"/>
        <w:outlineLvl w:val="0"/>
        <w:rPr>
          <w:rFonts w:ascii="宋体" w:hAnsi="宋体" w:cs="宋体"/>
          <w:color w:val="000000"/>
          <w:kern w:val="0"/>
          <w:sz w:val="28"/>
          <w:szCs w:val="28"/>
          <w:highlight w:val="none"/>
        </w:rPr>
      </w:pPr>
      <w:bookmarkStart w:id="9" w:name="_Toc358562746"/>
      <w:r>
        <w:rPr>
          <w:rFonts w:hint="eastAsia" w:ascii="黑体" w:hAnsi="黑体" w:eastAsia="黑体" w:cs="宋体"/>
          <w:color w:val="000000"/>
          <w:kern w:val="0"/>
          <w:sz w:val="30"/>
          <w:szCs w:val="30"/>
          <w:highlight w:val="none"/>
        </w:rPr>
        <w:t>第五章 附 则</w:t>
      </w:r>
      <w:bookmarkEnd w:id="9"/>
    </w:p>
    <w:p>
      <w:pPr>
        <w:suppressAutoHyphens/>
        <w:spacing w:line="360" w:lineRule="auto"/>
        <w:ind w:firstLine="560" w:firstLineChars="200"/>
        <w:rPr>
          <w:rFonts w:ascii="宋体" w:hAnsi="宋体" w:cs="宋体"/>
          <w:color w:val="000000"/>
          <w:kern w:val="0"/>
          <w:sz w:val="28"/>
          <w:szCs w:val="28"/>
          <w:highlight w:val="none"/>
        </w:rPr>
      </w:pPr>
      <w:r>
        <w:rPr>
          <w:rFonts w:hint="eastAsia" w:ascii="黑体" w:hAnsi="黑体" w:eastAsia="黑体"/>
          <w:sz w:val="28"/>
          <w:szCs w:val="28"/>
          <w:highlight w:val="none"/>
        </w:rPr>
        <w:t>第五十</w:t>
      </w:r>
      <w:r>
        <w:rPr>
          <w:rFonts w:ascii="黑体" w:hAnsi="黑体" w:eastAsia="黑体"/>
          <w:sz w:val="28"/>
          <w:szCs w:val="28"/>
          <w:highlight w:val="none"/>
        </w:rPr>
        <w:t>一</w:t>
      </w:r>
      <w:r>
        <w:rPr>
          <w:rFonts w:hint="eastAsia" w:ascii="黑体" w:hAnsi="黑体" w:eastAsia="黑体"/>
          <w:sz w:val="28"/>
          <w:szCs w:val="28"/>
          <w:highlight w:val="none"/>
        </w:rPr>
        <w:t xml:space="preserve">条 </w:t>
      </w:r>
      <w:r>
        <w:rPr>
          <w:rFonts w:hint="eastAsia" w:ascii="宋体" w:hAnsi="宋体" w:cs="宋体"/>
          <w:color w:val="000000"/>
          <w:kern w:val="0"/>
          <w:sz w:val="28"/>
          <w:szCs w:val="28"/>
          <w:highlight w:val="none"/>
        </w:rPr>
        <w:t>违反本细则规定的，交易所按照《郑州商品交易所违规处理办法》和其他业务规则的有关规定处理。</w:t>
      </w:r>
    </w:p>
    <w:p>
      <w:pPr>
        <w:tabs>
          <w:tab w:val="left" w:pos="1620"/>
        </w:tabs>
        <w:suppressAutoHyphens/>
        <w:autoSpaceDE w:val="0"/>
        <w:autoSpaceDN w:val="0"/>
        <w:snapToGrid w:val="0"/>
        <w:spacing w:line="360" w:lineRule="auto"/>
        <w:ind w:firstLine="560" w:firstLineChars="200"/>
        <w:rPr>
          <w:rFonts w:ascii="宋体" w:hAnsi="宋体" w:cs="宋体"/>
          <w:b/>
          <w:color w:val="000000"/>
          <w:kern w:val="0"/>
          <w:sz w:val="28"/>
          <w:szCs w:val="28"/>
          <w:highlight w:val="none"/>
        </w:rPr>
      </w:pPr>
      <w:r>
        <w:rPr>
          <w:rFonts w:hint="eastAsia" w:ascii="黑体" w:hAnsi="黑体" w:eastAsia="黑体"/>
          <w:sz w:val="28"/>
          <w:szCs w:val="28"/>
          <w:highlight w:val="none"/>
        </w:rPr>
        <w:t>第五十</w:t>
      </w:r>
      <w:r>
        <w:rPr>
          <w:rFonts w:ascii="黑体" w:hAnsi="黑体" w:eastAsia="黑体"/>
          <w:sz w:val="28"/>
          <w:szCs w:val="28"/>
          <w:highlight w:val="none"/>
        </w:rPr>
        <w:t>二</w:t>
      </w:r>
      <w:r>
        <w:rPr>
          <w:rFonts w:hint="eastAsia" w:ascii="黑体" w:hAnsi="黑体" w:eastAsia="黑体"/>
          <w:sz w:val="28"/>
          <w:szCs w:val="28"/>
          <w:highlight w:val="none"/>
        </w:rPr>
        <w:t xml:space="preserve">条 </w:t>
      </w:r>
      <w:r>
        <w:rPr>
          <w:rFonts w:hint="eastAsia" w:ascii="宋体" w:hAnsi="宋体" w:cs="宋体"/>
          <w:color w:val="000000"/>
          <w:kern w:val="0"/>
          <w:sz w:val="28"/>
          <w:szCs w:val="28"/>
          <w:highlight w:val="none"/>
        </w:rPr>
        <w:t>本细则未规定的，按照交易所相关业务规则的规定执行。</w:t>
      </w:r>
    </w:p>
    <w:p>
      <w:pPr>
        <w:tabs>
          <w:tab w:val="left" w:pos="1620"/>
        </w:tabs>
        <w:suppressAutoHyphens/>
        <w:autoSpaceDE w:val="0"/>
        <w:autoSpaceDN w:val="0"/>
        <w:snapToGrid w:val="0"/>
        <w:spacing w:line="360" w:lineRule="auto"/>
        <w:ind w:firstLine="560" w:firstLineChars="200"/>
        <w:rPr>
          <w:rFonts w:ascii="宋体" w:hAnsi="宋体" w:cs="宋体"/>
          <w:color w:val="000000"/>
          <w:kern w:val="0"/>
          <w:sz w:val="28"/>
          <w:szCs w:val="28"/>
          <w:highlight w:val="none"/>
        </w:rPr>
      </w:pPr>
      <w:r>
        <w:rPr>
          <w:rFonts w:hint="eastAsia" w:ascii="黑体" w:hAnsi="黑体" w:eastAsia="黑体"/>
          <w:sz w:val="28"/>
          <w:szCs w:val="28"/>
          <w:highlight w:val="none"/>
        </w:rPr>
        <w:t xml:space="preserve">第五十三条 </w:t>
      </w:r>
      <w:r>
        <w:rPr>
          <w:rFonts w:hint="eastAsia" w:ascii="宋体" w:hAnsi="宋体" w:cs="宋体"/>
          <w:color w:val="000000"/>
          <w:kern w:val="0"/>
          <w:sz w:val="28"/>
          <w:szCs w:val="28"/>
          <w:highlight w:val="none"/>
        </w:rPr>
        <w:t>本细则解释权属于郑州商品交易所。</w:t>
      </w:r>
    </w:p>
    <w:p>
      <w:pPr>
        <w:tabs>
          <w:tab w:val="left" w:pos="1620"/>
        </w:tabs>
        <w:suppressAutoHyphens/>
        <w:autoSpaceDE w:val="0"/>
        <w:autoSpaceDN w:val="0"/>
        <w:snapToGrid w:val="0"/>
        <w:spacing w:line="360" w:lineRule="auto"/>
        <w:ind w:firstLine="560" w:firstLineChars="200"/>
        <w:rPr>
          <w:rFonts w:ascii="仿宋" w:hAnsi="仿宋" w:eastAsia="仿宋"/>
          <w:sz w:val="32"/>
          <w:szCs w:val="32"/>
          <w:highlight w:val="none"/>
        </w:rPr>
      </w:pPr>
      <w:r>
        <w:rPr>
          <w:rFonts w:hint="eastAsia" w:ascii="黑体" w:hAnsi="黑体" w:eastAsia="黑体"/>
          <w:sz w:val="28"/>
          <w:szCs w:val="28"/>
          <w:highlight w:val="none"/>
        </w:rPr>
        <w:t>第五十四条</w:t>
      </w:r>
      <w:r>
        <w:rPr>
          <w:rFonts w:hint="default" w:ascii="黑体" w:hAnsi="黑体" w:eastAsia="黑体"/>
          <w:sz w:val="28"/>
          <w:szCs w:val="28"/>
          <w:highlight w:val="none"/>
          <w:lang w:val="en-US"/>
        </w:rPr>
        <w:t xml:space="preserve"> </w:t>
      </w:r>
      <w:r>
        <w:rPr>
          <w:rFonts w:hint="eastAsia" w:ascii="宋体" w:hAnsi="宋体" w:cs="宋体"/>
          <w:color w:val="000000"/>
          <w:kern w:val="0"/>
          <w:sz w:val="28"/>
          <w:szCs w:val="28"/>
          <w:highlight w:val="none"/>
        </w:rPr>
        <w:t>本细则</w:t>
      </w:r>
      <w:r>
        <w:rPr>
          <w:rFonts w:hint="eastAsia" w:ascii="宋体" w:hAnsi="宋体" w:eastAsia="宋体" w:cs="宋体"/>
          <w:color w:val="000000"/>
          <w:kern w:val="0"/>
          <w:sz w:val="28"/>
          <w:szCs w:val="28"/>
          <w:highlight w:val="none"/>
        </w:rPr>
        <w:t>自</w:t>
      </w:r>
      <w:r>
        <w:rPr>
          <w:rFonts w:hint="eastAsia" w:ascii="宋体" w:hAnsi="宋体" w:eastAsia="宋体" w:cs="宋体"/>
          <w:color w:val="000000"/>
          <w:kern w:val="0"/>
          <w:sz w:val="28"/>
          <w:szCs w:val="28"/>
          <w:highlight w:val="none"/>
          <w:lang w:val="en-US" w:eastAsia="zh-CN"/>
        </w:rPr>
        <w:t>2024年</w:t>
      </w:r>
      <w:r>
        <w:rPr>
          <w:rFonts w:hint="eastAsia" w:ascii="宋体" w:hAnsi="宋体" w:cs="宋体"/>
          <w:color w:val="000000"/>
          <w:kern w:val="0"/>
          <w:sz w:val="28"/>
          <w:szCs w:val="28"/>
          <w:highlight w:val="none"/>
          <w:lang w:val="en-US" w:eastAsia="zh-CN"/>
        </w:rPr>
        <w:t>11</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r>
        <w:rPr>
          <w:rFonts w:hint="eastAsia" w:ascii="宋体" w:hAnsi="宋体" w:cs="宋体"/>
          <w:color w:val="000000"/>
          <w:kern w:val="0"/>
          <w:sz w:val="28"/>
          <w:szCs w:val="28"/>
          <w:highlight w:val="none"/>
        </w:rPr>
        <w:t>。</w:t>
      </w:r>
    </w:p>
    <w:p>
      <w:pPr>
        <w:tabs>
          <w:tab w:val="left" w:pos="1620"/>
        </w:tabs>
        <w:autoSpaceDE w:val="0"/>
        <w:autoSpaceDN w:val="0"/>
        <w:spacing w:line="360" w:lineRule="auto"/>
        <w:rPr>
          <w:rFonts w:hint="eastAsia" w:ascii="黑体" w:hAnsi="黑体" w:eastAsia="黑体" w:cs="黑体"/>
          <w:sz w:val="32"/>
          <w:szCs w:val="32"/>
          <w:lang w:val="en-US" w:eastAsia="zh-CN"/>
        </w:rPr>
      </w:pP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D951FEB"/>
    <w:rsid w:val="167396B7"/>
    <w:rsid w:val="17AD7A67"/>
    <w:rsid w:val="1D9EC0E4"/>
    <w:rsid w:val="3998203D"/>
    <w:rsid w:val="3ADF0F94"/>
    <w:rsid w:val="3FFDA71F"/>
    <w:rsid w:val="4D4B96AF"/>
    <w:rsid w:val="4EFFA964"/>
    <w:rsid w:val="55FDBEAF"/>
    <w:rsid w:val="57E57D60"/>
    <w:rsid w:val="5AD3D141"/>
    <w:rsid w:val="5BD34FF2"/>
    <w:rsid w:val="5C7BF285"/>
    <w:rsid w:val="5F6D5D4A"/>
    <w:rsid w:val="67CD5CF4"/>
    <w:rsid w:val="6B7A08A4"/>
    <w:rsid w:val="6E1B5024"/>
    <w:rsid w:val="78031D0F"/>
    <w:rsid w:val="79AD2A79"/>
    <w:rsid w:val="7B351E47"/>
    <w:rsid w:val="7D4FA5EE"/>
    <w:rsid w:val="7EFE287D"/>
    <w:rsid w:val="7F6304BB"/>
    <w:rsid w:val="A7DAA132"/>
    <w:rsid w:val="AFAFF778"/>
    <w:rsid w:val="BCFF3EB4"/>
    <w:rsid w:val="DBFD0DA2"/>
    <w:rsid w:val="DDBF5167"/>
    <w:rsid w:val="DDDFAD32"/>
    <w:rsid w:val="DFBF2860"/>
    <w:rsid w:val="F3FFC39C"/>
    <w:rsid w:val="F5FB6EC4"/>
    <w:rsid w:val="F7BB0F44"/>
    <w:rsid w:val="F9B61800"/>
    <w:rsid w:val="FBB6C4B4"/>
    <w:rsid w:val="FBDF6598"/>
    <w:rsid w:val="FDFF9E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table" w:customStyle="1" w:styleId="13">
    <w:name w:val="网格型1"/>
    <w:basedOn w:val="5"/>
    <w:qFormat/>
    <w:uiPriority w:val="59"/>
    <w:pPr>
      <w:jc w:val="both"/>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张雅杰</cp:lastModifiedBy>
  <dcterms:modified xsi:type="dcterms:W3CDTF">2024-11-04T15:34:48Z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1A74164DAFE84797BDB2CC6CAEE4BCD0</vt:lpwstr>
  </property>
</Properties>
</file>