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黑体" w:hAnsi="黑体" w:eastAsia="黑体" w:cs="黑体"/>
          <w:szCs w:val="32"/>
        </w:rPr>
      </w:pPr>
      <w:bookmarkStart w:id="0" w:name="_GoBack"/>
      <w:bookmarkEnd w:id="0"/>
      <w:r>
        <w:rPr>
          <w:rFonts w:hint="eastAsia" w:ascii="黑体" w:hAnsi="黑体" w:eastAsia="黑体" w:cs="黑体"/>
          <w:sz w:val="32"/>
          <w:szCs w:val="32"/>
        </w:rPr>
        <w:t>附件</w:t>
      </w:r>
      <w:r>
        <w:rPr>
          <w:rFonts w:hint="default" w:ascii="Times New Roman" w:hAnsi="Times New Roman" w:eastAsia="黑体" w:cs="Times New Roman"/>
          <w:sz w:val="32"/>
          <w:szCs w:val="32"/>
        </w:rPr>
        <w:t>2</w:t>
      </w:r>
    </w:p>
    <w:p>
      <w:pPr>
        <w:spacing w:before="156" w:beforeLines="50" w:after="156" w:afterLines="50" w:line="5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广州期货交易所</w:t>
      </w:r>
      <w:r>
        <w:rPr>
          <w:rFonts w:hint="eastAsia" w:ascii="方正小标宋简体" w:hAnsi="方正小标宋简体" w:eastAsia="方正小标宋简体" w:cs="方正小标宋简体"/>
          <w:sz w:val="44"/>
          <w:szCs w:val="44"/>
        </w:rPr>
        <w:t>碳酸锂期货合约</w:t>
      </w:r>
    </w:p>
    <w:tbl>
      <w:tblPr>
        <w:tblStyle w:val="4"/>
        <w:tblW w:w="82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751"/>
        <w:gridCol w:w="54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jc w:val="center"/>
        </w:trPr>
        <w:tc>
          <w:tcPr>
            <w:tcW w:w="2751"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color w:val="000000"/>
                <w:sz w:val="32"/>
                <w:szCs w:val="32"/>
              </w:rPr>
              <w:t>合约标的物</w:t>
            </w:r>
          </w:p>
        </w:tc>
        <w:tc>
          <w:tcPr>
            <w:tcW w:w="5472"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sz w:val="32"/>
                <w:szCs w:val="32"/>
              </w:rPr>
              <w:t>碳酸锂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 w:hRule="atLeast"/>
          <w:jc w:val="center"/>
        </w:trPr>
        <w:tc>
          <w:tcPr>
            <w:tcW w:w="2751"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color w:val="000000"/>
                <w:sz w:val="32"/>
                <w:szCs w:val="32"/>
              </w:rPr>
              <w:t>交易单位</w:t>
            </w:r>
          </w:p>
        </w:tc>
        <w:tc>
          <w:tcPr>
            <w:tcW w:w="5472"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bCs/>
                <w:sz w:val="32"/>
                <w:szCs w:val="32"/>
              </w:rPr>
              <w:t>1吨/手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jc w:val="center"/>
        </w:trPr>
        <w:tc>
          <w:tcPr>
            <w:tcW w:w="2751"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color w:val="000000"/>
                <w:sz w:val="32"/>
                <w:szCs w:val="32"/>
              </w:rPr>
              <w:t>报价单位</w:t>
            </w:r>
          </w:p>
        </w:tc>
        <w:tc>
          <w:tcPr>
            <w:tcW w:w="5472"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sz w:val="32"/>
                <w:szCs w:val="32"/>
              </w:rPr>
              <w:t>元（人民币）/吨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 w:hRule="atLeast"/>
          <w:jc w:val="center"/>
        </w:trPr>
        <w:tc>
          <w:tcPr>
            <w:tcW w:w="2751"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color w:val="000000"/>
                <w:sz w:val="32"/>
                <w:szCs w:val="32"/>
              </w:rPr>
              <w:t>最小变动价位</w:t>
            </w:r>
          </w:p>
        </w:tc>
        <w:tc>
          <w:tcPr>
            <w:tcW w:w="5472"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bCs/>
                <w:sz w:val="32"/>
                <w:szCs w:val="32"/>
              </w:rPr>
              <w:t>20元/吨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2751"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color w:val="000000"/>
                <w:sz w:val="32"/>
                <w:szCs w:val="32"/>
              </w:rPr>
              <w:t>涨跌停板幅度</w:t>
            </w:r>
          </w:p>
        </w:tc>
        <w:tc>
          <w:tcPr>
            <w:tcW w:w="5472"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sz w:val="32"/>
                <w:szCs w:val="32"/>
              </w:rPr>
              <w:t>上一交易日结算价±4%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 w:hRule="atLeast"/>
          <w:jc w:val="center"/>
        </w:trPr>
        <w:tc>
          <w:tcPr>
            <w:tcW w:w="2751"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color w:val="000000"/>
                <w:sz w:val="32"/>
                <w:szCs w:val="32"/>
              </w:rPr>
              <w:t>合约交割月份</w:t>
            </w:r>
          </w:p>
        </w:tc>
        <w:tc>
          <w:tcPr>
            <w:tcW w:w="5472"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sz w:val="32"/>
                <w:szCs w:val="32"/>
              </w:rPr>
              <w:t>1、2、3、4、5、6、7、8、9、10、11、12月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2751"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color w:val="000000"/>
                <w:sz w:val="32"/>
                <w:szCs w:val="32"/>
              </w:rPr>
              <w:t>交易时间</w:t>
            </w:r>
          </w:p>
        </w:tc>
        <w:tc>
          <w:tcPr>
            <w:tcW w:w="5472" w:type="dxa"/>
            <w:shd w:val="clear" w:color="auto" w:fill="auto"/>
            <w:tcMar>
              <w:top w:w="15" w:type="dxa"/>
              <w:left w:w="108" w:type="dxa"/>
              <w:bottom w:w="0" w:type="dxa"/>
              <w:right w:w="108" w:type="dxa"/>
            </w:tcMar>
            <w:vAlign w:val="center"/>
          </w:tcPr>
          <w:p>
            <w:pPr>
              <w:widowControl/>
              <w:rPr>
                <w:rFonts w:cs="Times New Roman"/>
                <w:szCs w:val="32"/>
              </w:rPr>
            </w:pPr>
            <w:r>
              <w:rPr>
                <w:rFonts w:ascii="Times New Roman" w:hAnsi="Times New Roman" w:eastAsia="仿宋_GB2312" w:cs="Times New Roman"/>
                <w:sz w:val="32"/>
                <w:szCs w:val="32"/>
              </w:rPr>
              <w:t>上午9:00－11:30，下午13:30－15:00，以及交易所规定的其他时间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2751"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color w:val="000000"/>
                <w:sz w:val="32"/>
                <w:szCs w:val="32"/>
              </w:rPr>
              <w:t>最后交易日</w:t>
            </w:r>
          </w:p>
        </w:tc>
        <w:tc>
          <w:tcPr>
            <w:tcW w:w="5472"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sz w:val="32"/>
                <w:szCs w:val="32"/>
              </w:rPr>
              <w:t>合约月份第10个交易日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 w:hRule="atLeast"/>
          <w:jc w:val="center"/>
        </w:trPr>
        <w:tc>
          <w:tcPr>
            <w:tcW w:w="2751"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color w:val="000000"/>
                <w:sz w:val="32"/>
                <w:szCs w:val="32"/>
              </w:rPr>
              <w:t>最后交割日</w:t>
            </w:r>
          </w:p>
        </w:tc>
        <w:tc>
          <w:tcPr>
            <w:tcW w:w="5472"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sz w:val="32"/>
                <w:szCs w:val="32"/>
              </w:rPr>
              <w:t>最后交易日后</w:t>
            </w:r>
            <w:r>
              <w:rPr>
                <w:rFonts w:hint="eastAsia" w:cs="Times New Roman"/>
                <w:sz w:val="32"/>
                <w:szCs w:val="32"/>
              </w:rPr>
              <w:t>的</w:t>
            </w:r>
            <w:r>
              <w:rPr>
                <w:rFonts w:ascii="Times New Roman" w:hAnsi="Times New Roman" w:eastAsia="仿宋_GB2312" w:cs="Times New Roman"/>
                <w:sz w:val="32"/>
                <w:szCs w:val="32"/>
              </w:rPr>
              <w:t>第3个交易日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jc w:val="center"/>
        </w:trPr>
        <w:tc>
          <w:tcPr>
            <w:tcW w:w="2751"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color w:val="000000"/>
                <w:sz w:val="32"/>
                <w:szCs w:val="32"/>
              </w:rPr>
              <w:t>交割品级</w:t>
            </w:r>
          </w:p>
        </w:tc>
        <w:tc>
          <w:tcPr>
            <w:tcW w:w="5472"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sz w:val="32"/>
                <w:szCs w:val="32"/>
              </w:rPr>
              <w:t>见《广州期货交易所碳酸锂期货、期权业务细则》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jc w:val="center"/>
        </w:trPr>
        <w:tc>
          <w:tcPr>
            <w:tcW w:w="2751"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color w:val="000000"/>
                <w:sz w:val="32"/>
                <w:szCs w:val="32"/>
              </w:rPr>
              <w:t>交割地点</w:t>
            </w:r>
          </w:p>
        </w:tc>
        <w:tc>
          <w:tcPr>
            <w:tcW w:w="5472"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sz w:val="32"/>
                <w:szCs w:val="32"/>
              </w:rPr>
              <w:t>交易所指定交割库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jc w:val="center"/>
        </w:trPr>
        <w:tc>
          <w:tcPr>
            <w:tcW w:w="2751" w:type="dxa"/>
            <w:shd w:val="clear" w:color="auto" w:fill="auto"/>
            <w:tcMar>
              <w:top w:w="15" w:type="dxa"/>
              <w:left w:w="108" w:type="dxa"/>
              <w:bottom w:w="0" w:type="dxa"/>
              <w:right w:w="108" w:type="dxa"/>
            </w:tcMar>
            <w:vAlign w:val="center"/>
          </w:tcPr>
          <w:p>
            <w:pPr>
              <w:widowControl/>
              <w:rPr>
                <w:rFonts w:cs="Times New Roman"/>
                <w:color w:val="000000"/>
                <w:szCs w:val="32"/>
              </w:rPr>
            </w:pPr>
            <w:r>
              <w:rPr>
                <w:rFonts w:ascii="Times New Roman" w:hAnsi="Times New Roman" w:eastAsia="仿宋_GB2312" w:cs="Times New Roman"/>
                <w:color w:val="000000"/>
                <w:sz w:val="32"/>
                <w:szCs w:val="32"/>
              </w:rPr>
              <w:t>最低交易保证金</w:t>
            </w:r>
          </w:p>
        </w:tc>
        <w:tc>
          <w:tcPr>
            <w:tcW w:w="5472" w:type="dxa"/>
            <w:shd w:val="clear" w:color="auto" w:fill="auto"/>
            <w:tcMar>
              <w:top w:w="15" w:type="dxa"/>
              <w:left w:w="108" w:type="dxa"/>
              <w:bottom w:w="0" w:type="dxa"/>
              <w:right w:w="108" w:type="dxa"/>
            </w:tcMar>
            <w:vAlign w:val="center"/>
          </w:tcPr>
          <w:p>
            <w:pPr>
              <w:widowControl/>
              <w:rPr>
                <w:rFonts w:cs="Times New Roman"/>
                <w:szCs w:val="32"/>
              </w:rPr>
            </w:pPr>
            <w:r>
              <w:rPr>
                <w:rFonts w:ascii="Times New Roman" w:hAnsi="Times New Roman" w:eastAsia="仿宋_GB2312" w:cs="Times New Roman"/>
                <w:bCs/>
                <w:sz w:val="32"/>
                <w:szCs w:val="32"/>
              </w:rPr>
              <w:t>合约价值的5%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jc w:val="center"/>
        </w:trPr>
        <w:tc>
          <w:tcPr>
            <w:tcW w:w="2751"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color w:val="000000"/>
                <w:sz w:val="32"/>
                <w:szCs w:val="32"/>
              </w:rPr>
              <w:t>交割方式</w:t>
            </w:r>
          </w:p>
        </w:tc>
        <w:tc>
          <w:tcPr>
            <w:tcW w:w="5472"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sz w:val="32"/>
                <w:szCs w:val="32"/>
              </w:rPr>
              <w:t>实物交割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jc w:val="center"/>
        </w:trPr>
        <w:tc>
          <w:tcPr>
            <w:tcW w:w="2751"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color w:val="000000"/>
                <w:sz w:val="32"/>
                <w:szCs w:val="32"/>
              </w:rPr>
              <w:t>交易代码</w:t>
            </w:r>
          </w:p>
        </w:tc>
        <w:tc>
          <w:tcPr>
            <w:tcW w:w="5472" w:type="dxa"/>
            <w:shd w:val="clear" w:color="auto" w:fill="auto"/>
            <w:tcMar>
              <w:top w:w="15" w:type="dxa"/>
              <w:left w:w="108" w:type="dxa"/>
              <w:bottom w:w="0" w:type="dxa"/>
              <w:right w:w="108" w:type="dxa"/>
            </w:tcMar>
            <w:vAlign w:val="center"/>
          </w:tcPr>
          <w:p>
            <w:pPr>
              <w:widowControl/>
              <w:rPr>
                <w:rFonts w:cs="Times New Roman"/>
                <w:bCs/>
                <w:szCs w:val="32"/>
              </w:rPr>
            </w:pPr>
            <w:r>
              <w:rPr>
                <w:rFonts w:ascii="Times New Roman" w:hAnsi="Times New Roman" w:eastAsia="仿宋_GB2312" w:cs="Times New Roman"/>
                <w:bCs/>
                <w:sz w:val="32"/>
                <w:szCs w:val="32"/>
              </w:rPr>
              <w:t>LC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jc w:val="center"/>
        </w:trPr>
        <w:tc>
          <w:tcPr>
            <w:tcW w:w="2751"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color w:val="000000"/>
                <w:sz w:val="32"/>
                <w:szCs w:val="32"/>
              </w:rPr>
              <w:t>上市交易所</w:t>
            </w:r>
          </w:p>
        </w:tc>
        <w:tc>
          <w:tcPr>
            <w:tcW w:w="5472" w:type="dxa"/>
            <w:shd w:val="clear" w:color="auto" w:fill="auto"/>
            <w:tcMar>
              <w:top w:w="15" w:type="dxa"/>
              <w:left w:w="108" w:type="dxa"/>
              <w:bottom w:w="0" w:type="dxa"/>
              <w:right w:w="108" w:type="dxa"/>
            </w:tcMar>
            <w:vAlign w:val="center"/>
          </w:tcPr>
          <w:p>
            <w:pPr>
              <w:widowControl/>
              <w:rPr>
                <w:rFonts w:cs="Times New Roman"/>
                <w:kern w:val="0"/>
                <w:szCs w:val="32"/>
              </w:rPr>
            </w:pPr>
            <w:r>
              <w:rPr>
                <w:rFonts w:ascii="Times New Roman" w:hAnsi="Times New Roman" w:eastAsia="仿宋_GB2312" w:cs="Times New Roman"/>
                <w:sz w:val="32"/>
                <w:szCs w:val="32"/>
              </w:rPr>
              <w:t>广州期货交易所</w:t>
            </w:r>
          </w:p>
        </w:tc>
      </w:tr>
    </w:tbl>
    <w:p>
      <w:pPr>
        <w:spacing w:line="240" w:lineRule="atLeast"/>
        <w:outlineLvl w:val="1"/>
        <w:rPr>
          <w:rFonts w:cs="Times New Roman"/>
          <w:sz w:val="24"/>
        </w:rPr>
      </w:pPr>
      <w:r>
        <w:rPr>
          <w:rFonts w:ascii="Times New Roman" w:hAnsi="Times New Roman" w:eastAsia="仿宋_GB2312" w:cs="Times New Roman"/>
          <w:sz w:val="24"/>
        </w:rPr>
        <w:t>注1：交易所可以根据市场情况调整各合约涨跌停板幅度和交易保证金标准。</w:t>
      </w:r>
    </w:p>
    <w:p>
      <w:pPr>
        <w:spacing w:line="240" w:lineRule="atLeast"/>
        <w:outlineLvl w:val="1"/>
      </w:pPr>
      <w:r>
        <w:rPr>
          <w:rFonts w:ascii="Times New Roman" w:hAnsi="Times New Roman" w:eastAsia="仿宋_GB2312" w:cs="Times New Roman"/>
          <w:sz w:val="24"/>
        </w:rPr>
        <w:t>注2：日盘交易分为三个交易小节，分别为第一节9:00－10:15、第二节10:30－11:30和第三节13:30－15:00。</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06520A"/>
    <w:rsid w:val="73306AF1"/>
    <w:rsid w:val="B6F1153C"/>
    <w:rsid w:val="EF7DE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2024-11-28T08:55:00Z</dcterms:created>
  <dc:creator>admin</dc:creator>
  <cp:lastModifiedBy>admin</cp:lastModifiedBy>
  <dcterms:modified xsi:type="dcterms:W3CDTF">2024-12-06T12:55:29Z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6D2EF941CCEC4D09B30413B9634ABCC2</vt:lpwstr>
  </property>
</Properties>
</file>