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Times New Roman" w:hAnsi="Times New Roman" w:eastAsia="黑体" w:cs="Times New Roman"/>
          <w:sz w:val="32"/>
          <w:szCs w:val="32"/>
        </w:rPr>
      </w:pPr>
      <w:bookmarkStart w:id="1" w:name="_GoBack"/>
      <w:bookmarkEnd w:id="1"/>
      <w:bookmarkStart w:id="0" w:name="Content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碳酸锂期货合约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及相关规则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修订对照表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（注：双删除线为删除内容，加粗为新增内容）</w:t>
      </w:r>
    </w:p>
    <w:p>
      <w:pPr>
        <w:widowControl/>
        <w:adjustRightInd w:val="0"/>
        <w:snapToGrid w:val="0"/>
        <w:spacing w:line="560" w:lineRule="exact"/>
        <w:rPr>
          <w:rFonts w:ascii="Times New Roman" w:hAnsi="Times New Roman" w:eastAsia="黑体" w:cs="Calibri"/>
          <w:b/>
          <w:color w:val="000000"/>
          <w:kern w:val="44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黑体" w:hAnsi="黑体" w:eastAsia="黑体" w:cs="Calibri"/>
          <w:bCs/>
          <w:kern w:val="0"/>
          <w:sz w:val="32"/>
          <w:szCs w:val="32"/>
        </w:rPr>
      </w:pP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一、</w:t>
      </w:r>
      <w:r>
        <w:rPr>
          <w:rFonts w:ascii="黑体" w:hAnsi="黑体" w:eastAsia="黑体" w:cs="Calibri"/>
          <w:bCs/>
          <w:kern w:val="0"/>
          <w:sz w:val="32"/>
          <w:szCs w:val="32"/>
        </w:rPr>
        <w:t>《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广州期货</w:t>
      </w:r>
      <w:r>
        <w:rPr>
          <w:rFonts w:ascii="黑体" w:hAnsi="黑体" w:eastAsia="黑体" w:cs="Calibri"/>
          <w:bCs/>
          <w:kern w:val="0"/>
          <w:sz w:val="32"/>
          <w:szCs w:val="32"/>
        </w:rPr>
        <w:t>交易所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碳酸锂</w:t>
      </w:r>
      <w:r>
        <w:rPr>
          <w:rFonts w:ascii="黑体" w:hAnsi="黑体" w:eastAsia="黑体" w:cs="Calibri"/>
          <w:bCs/>
          <w:kern w:val="0"/>
          <w:sz w:val="32"/>
          <w:szCs w:val="32"/>
        </w:rPr>
        <w:t>期货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、期权</w:t>
      </w:r>
      <w:r>
        <w:rPr>
          <w:rFonts w:ascii="黑体" w:hAnsi="黑体" w:eastAsia="黑体" w:cs="Calibri"/>
          <w:bCs/>
          <w:kern w:val="0"/>
          <w:sz w:val="32"/>
          <w:szCs w:val="32"/>
        </w:rPr>
        <w:t>业务细则》</w:t>
      </w:r>
      <w:r>
        <w:rPr>
          <w:rFonts w:hint="eastAsia" w:ascii="黑体" w:hAnsi="黑体" w:eastAsia="黑体" w:cs="Calibri"/>
          <w:bCs/>
          <w:kern w:val="0"/>
          <w:sz w:val="32"/>
          <w:szCs w:val="32"/>
          <w:lang w:val="en-US" w:eastAsia="zh-CN"/>
        </w:rPr>
        <w:t>修订</w:t>
      </w:r>
      <w:r>
        <w:rPr>
          <w:rFonts w:hint="eastAsia" w:ascii="黑体" w:hAnsi="黑体" w:eastAsia="黑体" w:cs="Calibri"/>
          <w:bCs/>
          <w:kern w:val="0"/>
          <w:sz w:val="32"/>
          <w:szCs w:val="32"/>
        </w:rPr>
        <w:t>对照表</w:t>
      </w:r>
    </w:p>
    <w:tbl>
      <w:tblPr>
        <w:tblStyle w:val="4"/>
        <w:tblW w:w="8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6"/>
        <w:gridCol w:w="4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原条文</w:t>
            </w:r>
          </w:p>
        </w:tc>
        <w:tc>
          <w:tcPr>
            <w:tcW w:w="4286" w:type="dxa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修改后条文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第四条 ……贴水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25000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第四条 ……贴水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5000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</w:t>
            </w: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第十条 碳酸锂期货合约的最小变动价位为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第十条 碳酸锂期货合约的最小变动价位为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20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第十三条 ……自进入交割月份前1个月第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15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个交易日起，交易所将分时间段逐步提高合约的交易保证金标准，交易保证金标准为：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6"/>
              <w:gridCol w:w="17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交易时间段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交易保证金标准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8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ascii="Times New Roman" w:hAnsi="Times New Roman" w:eastAsia="仿宋" w:cs="Times New Roman"/>
                      <w:bCs/>
                      <w:dstrike/>
                      <w:kern w:val="44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交割月份第1个交易日起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20%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第十三条 ……自进入交割月份前1个月第</w:t>
            </w:r>
            <w:r>
              <w:rPr>
                <w:rFonts w:hint="eastAsia" w:ascii="Times New Roman" w:hAnsi="Times New Roman" w:eastAsia="仿宋" w:cs="Times New Roman"/>
                <w:b/>
                <w:kern w:val="44"/>
                <w:sz w:val="32"/>
                <w:szCs w:val="32"/>
              </w:rPr>
              <w:t>10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个交易日起，交易所将分时间段逐步提高合约的交易保证金标准，交易保证金标准为：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26"/>
              <w:gridCol w:w="17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9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交易时间段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交易保证金标准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8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kern w:val="44"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10%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242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交割月份第1个交易日起</w:t>
                  </w:r>
                </w:p>
              </w:tc>
              <w:tc>
                <w:tcPr>
                  <w:tcW w:w="1787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20%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第十四条 碳酸锂期货合约非期货公司会员、境外特殊非经纪参与者、客户持仓限额见下表，交割月份个人客户持仓限额为0手：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1"/>
              <w:gridCol w:w="1295"/>
              <w:gridCol w:w="1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时间段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restart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一般月份</w:t>
                  </w: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N&gt;3万手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N×10%手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continue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N≤3万手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ascii="Times New Roman" w:hAnsi="Times New Roman" w:eastAsia="仿宋" w:cs="Times New Roman"/>
                      <w:bCs/>
                      <w:dstrike/>
                      <w:kern w:val="44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300手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28"/>
                <w:szCs w:val="28"/>
              </w:rPr>
              <w:t>注：N为某一合约单边持仓总量。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第十四条 碳酸锂期货合约非期货公司会员、境外特殊非经纪参与者、客户持仓限额见下表，交割月份个人客户持仓限额为0手：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1"/>
              <w:gridCol w:w="1295"/>
              <w:gridCol w:w="1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时间段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非期货公司会员、境外特殊非经纪参与者、客户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restart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一般月份</w:t>
                  </w: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N&gt;3万手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N×10%手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Merge w:val="continue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N≤3万手</w:t>
                  </w:r>
                </w:p>
              </w:tc>
              <w:tc>
                <w:tcPr>
                  <w:tcW w:w="1333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交割月份前1个月第</w:t>
                  </w:r>
                  <w:r>
                    <w:rPr>
                      <w:rFonts w:hint="eastAsia" w:ascii="Times New Roman" w:hAnsi="Times New Roman" w:eastAsia="仿宋" w:cs="Times New Roman"/>
                      <w:b/>
                      <w:kern w:val="44"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个交易日起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1000手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32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交割月份</w:t>
                  </w:r>
                </w:p>
              </w:tc>
              <w:tc>
                <w:tcPr>
                  <w:tcW w:w="2677" w:type="dxa"/>
                  <w:gridSpan w:val="2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仿宋" w:cs="Times New Roman"/>
                      <w:bCs/>
                      <w:kern w:val="44"/>
                      <w:sz w:val="28"/>
                      <w:szCs w:val="28"/>
                    </w:rPr>
                    <w:t>300手</w:t>
                  </w:r>
                </w:p>
              </w:tc>
            </w:tr>
          </w:tbl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28"/>
                <w:szCs w:val="28"/>
              </w:rPr>
              <w:t>注：N为某一合约单边持仓总量。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第四十四条 碳酸锂期货交割手续费、仓储费、出入库费、检验费等交割相关费用标准由交易所另行规定并公布。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 xml:space="preserve">第四十四条 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碳酸锂期货交割货款以交割结算价为基础，再加上交割库升贴水、质量升贴水进行结算。</w:t>
            </w:r>
          </w:p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碳酸锂期货交割手续费、仓储费、出入库费、检验费等交割相关费用标准由交易所另行规定并公布。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第四十九条 会员办理交割预报时，应当按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30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元/吨向交易所交纳交割预报定金。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第四十九条 会员办理交割预报时，应当按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200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元/吨向交易所交纳交割预报定金。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第六十七条 ……滞纳金标准为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第六十七条 ……滞纳金标准为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第六十八条 ……滞纳金标准为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第六十八条 ……滞纳金标准为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第六十九条 ……滞纳金金额=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5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元/吨•天×全部的商品数量×19天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第六十九条 ……滞纳金金额=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100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元/吨•天×全部的商品数量×19天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第七十九条 本细则自</w:t>
            </w:r>
            <w:r>
              <w:rPr>
                <w:rFonts w:ascii="Times New Roman" w:hAnsi="Times New Roman" w:eastAsia="仿宋" w:cs="Times New Roman"/>
                <w:bCs/>
                <w:dstrike/>
                <w:kern w:val="44"/>
                <w:sz w:val="32"/>
                <w:szCs w:val="32"/>
              </w:rPr>
              <w:t>2023年7月11日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起实施。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第七十九条 本细则自</w:t>
            </w:r>
            <w:r>
              <w:rPr>
                <w:rFonts w:ascii="Times New Roman" w:hAnsi="Times New Roman" w:eastAsia="仿宋" w:cs="Times New Roman"/>
                <w:b/>
                <w:kern w:val="44"/>
                <w:sz w:val="32"/>
                <w:szCs w:val="32"/>
              </w:rPr>
              <w:t>发布之日</w:t>
            </w:r>
            <w:r>
              <w:rPr>
                <w:rFonts w:ascii="Times New Roman" w:hAnsi="Times New Roman" w:eastAsia="仿宋" w:cs="Times New Roman"/>
                <w:bCs/>
                <w:kern w:val="44"/>
                <w:sz w:val="32"/>
                <w:szCs w:val="32"/>
              </w:rPr>
              <w:t>起实施。</w:t>
            </w:r>
          </w:p>
        </w:tc>
      </w:tr>
      <w:bookmarkEnd w:id="0"/>
    </w:tbl>
    <w:p>
      <w:pPr>
        <w:widowControl/>
        <w:spacing w:line="560" w:lineRule="exact"/>
        <w:ind w:firstLine="640" w:firstLineChars="200"/>
        <w:rPr>
          <w:rFonts w:ascii="黑体" w:hAnsi="黑体" w:eastAsia="黑体" w:cs="Calibri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二、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  <w:lang w:eastAsia="zh-CN"/>
        </w:rPr>
        <w:t>《广州期货交易所碳酸锂期货合约》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  <w:lang w:val="en-US" w:eastAsia="zh-CN"/>
        </w:rPr>
        <w:t>修订</w:t>
      </w:r>
      <w:r>
        <w:rPr>
          <w:rFonts w:hint="eastAsia" w:ascii="黑体" w:hAnsi="黑体" w:eastAsia="黑体" w:cs="Calibri"/>
          <w:kern w:val="0"/>
          <w:sz w:val="32"/>
          <w:szCs w:val="32"/>
          <w:shd w:val="clear" w:color="auto" w:fill="FFFFFF"/>
        </w:rPr>
        <w:t>对照表</w:t>
      </w:r>
    </w:p>
    <w:tbl>
      <w:tblPr>
        <w:tblStyle w:val="4"/>
        <w:tblW w:w="85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6"/>
        <w:gridCol w:w="4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86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原条文</w:t>
            </w:r>
          </w:p>
        </w:tc>
        <w:tc>
          <w:tcPr>
            <w:tcW w:w="4286" w:type="dxa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  <w:t>修改后条文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Calibri"/>
                <w:bCs/>
                <w:kern w:val="44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 xml:space="preserve">最小变动价位  </w:t>
            </w:r>
            <w:r>
              <w:rPr>
                <w:rFonts w:hint="eastAsia" w:ascii="Times New Roman" w:hAnsi="Times New Roman" w:eastAsia="仿宋" w:cs="Calibri"/>
                <w:bCs/>
                <w:dstrike/>
                <w:kern w:val="44"/>
                <w:sz w:val="32"/>
                <w:szCs w:val="32"/>
              </w:rPr>
              <w:t>50</w:t>
            </w: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>元/吨</w:t>
            </w:r>
          </w:p>
        </w:tc>
        <w:tc>
          <w:tcPr>
            <w:tcW w:w="4286" w:type="dxa"/>
          </w:tcPr>
          <w:p>
            <w:pPr>
              <w:widowControl/>
              <w:rPr>
                <w:rFonts w:ascii="Times New Roman" w:hAnsi="Times New Roman" w:eastAsia="仿宋" w:cs="Calibri"/>
                <w:bCs/>
                <w:kern w:val="44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 xml:space="preserve">最小变动价位  </w:t>
            </w:r>
            <w:r>
              <w:rPr>
                <w:rFonts w:hint="eastAsia" w:ascii="Times New Roman" w:hAnsi="Times New Roman" w:eastAsia="仿宋" w:cs="Calibri"/>
                <w:b/>
                <w:kern w:val="44"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仿宋" w:cs="Calibri"/>
                <w:bCs/>
                <w:kern w:val="44"/>
                <w:sz w:val="32"/>
                <w:szCs w:val="32"/>
              </w:rPr>
              <w:t>元/吨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FF54FA"/>
    <w:rsid w:val="5DD44BA1"/>
    <w:rsid w:val="9C1CA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2024-11-28T08:59:00Z</dcterms:created>
  <dc:creator>admin</dc:creator>
  <cp:lastModifiedBy>admin</cp:lastModifiedBy>
  <dcterms:modified xsi:type="dcterms:W3CDTF">2024-12-06T12:55:55Z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7BBC6402AC5A43FA919DED5C408EB40B</vt:lpwstr>
  </property>
</Properties>
</file>